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741480">
      <w:pPr>
        <w:pStyle w:val="7"/>
        <w:spacing w:line="400" w:lineRule="exact"/>
        <w:ind w:firstLine="560"/>
        <w:rPr>
          <w:rFonts w:ascii="Times New Roman" w:hAnsi="Times New Roman"/>
          <w:color w:val="000000"/>
          <w:sz w:val="20"/>
        </w:rPr>
      </w:pPr>
    </w:p>
    <w:p w14:paraId="706452D5">
      <w:pPr>
        <w:spacing w:line="400" w:lineRule="exact"/>
        <w:rPr>
          <w:rFonts w:ascii="Times New Roman" w:hAnsi="Times New Roman"/>
          <w:color w:val="000000"/>
        </w:rPr>
      </w:pPr>
    </w:p>
    <w:p w14:paraId="58AE6FC0">
      <w:pPr>
        <w:spacing w:line="400" w:lineRule="exact"/>
        <w:rPr>
          <w:rFonts w:ascii="Times New Roman" w:hAnsi="Times New Roman"/>
          <w:color w:val="000000"/>
          <w:u w:val="single"/>
        </w:rPr>
      </w:pPr>
    </w:p>
    <w:p w14:paraId="1F2247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44"/>
          <w:szCs w:val="44"/>
          <w:lang w:val="en-US" w:eastAsia="zh-CN"/>
        </w:rPr>
      </w:pPr>
      <w:bookmarkStart w:id="0" w:name="_Toc7918"/>
      <w:r>
        <w:rPr>
          <w:rFonts w:hint="eastAsia" w:ascii="仿宋" w:hAnsi="仿宋" w:eastAsia="仿宋" w:cs="仿宋"/>
          <w:color w:val="000000"/>
          <w:sz w:val="44"/>
          <w:szCs w:val="44"/>
          <w:lang w:val="en-US" w:eastAsia="zh-CN"/>
        </w:rPr>
        <w:t>界首市恒居建设发展有限公司2024—2026年度财务年报审计项目</w:t>
      </w:r>
      <w:bookmarkEnd w:id="0"/>
      <w:bookmarkStart w:id="669" w:name="_GoBack"/>
      <w:bookmarkEnd w:id="669"/>
    </w:p>
    <w:p w14:paraId="34905A66">
      <w:pPr>
        <w:jc w:val="center"/>
        <w:rPr>
          <w:rFonts w:ascii="Times New Roman" w:hAnsi="Times New Roman" w:eastAsia="黑体"/>
          <w:sz w:val="28"/>
          <w:szCs w:val="28"/>
        </w:rPr>
      </w:pPr>
    </w:p>
    <w:p w14:paraId="25A86897">
      <w:pPr>
        <w:jc w:val="center"/>
        <w:rPr>
          <w:rFonts w:hint="eastAsia" w:ascii="仿宋" w:hAnsi="仿宋" w:eastAsia="仿宋" w:cs="仿宋"/>
          <w:sz w:val="28"/>
          <w:szCs w:val="28"/>
          <w:lang w:val="en-US" w:eastAsia="zh-CN"/>
        </w:rPr>
      </w:pPr>
      <w:r>
        <w:rPr>
          <w:rFonts w:hint="eastAsia" w:ascii="仿宋" w:hAnsi="仿宋" w:eastAsia="仿宋" w:cs="仿宋"/>
          <w:sz w:val="28"/>
          <w:szCs w:val="28"/>
        </w:rPr>
        <w:t>采购编号：</w:t>
      </w:r>
      <w:r>
        <w:rPr>
          <w:rFonts w:hint="eastAsia" w:ascii="仿宋" w:hAnsi="仿宋" w:eastAsia="仿宋" w:cs="仿宋"/>
          <w:sz w:val="28"/>
          <w:szCs w:val="28"/>
          <w:lang w:eastAsia="zh-CN"/>
        </w:rPr>
        <w:t xml:space="preserve">GN2025-03-1976 </w:t>
      </w:r>
    </w:p>
    <w:p w14:paraId="6CA60678">
      <w:pPr>
        <w:spacing w:line="400" w:lineRule="exact"/>
        <w:rPr>
          <w:rFonts w:ascii="Times New Roman" w:hAnsi="Times New Roman"/>
          <w:color w:val="000000"/>
        </w:rPr>
      </w:pPr>
    </w:p>
    <w:p w14:paraId="4C39CAD2">
      <w:pPr>
        <w:spacing w:line="400" w:lineRule="exact"/>
        <w:jc w:val="right"/>
        <w:rPr>
          <w:rFonts w:ascii="Times New Roman" w:hAnsi="Times New Roman"/>
          <w:color w:val="000000"/>
        </w:rPr>
      </w:pPr>
    </w:p>
    <w:p w14:paraId="5816FC1B">
      <w:pPr>
        <w:rPr>
          <w:rFonts w:ascii="Times New Roman" w:hAnsi="Times New Roman"/>
          <w:sz w:val="28"/>
          <w:szCs w:val="28"/>
        </w:rPr>
      </w:pPr>
    </w:p>
    <w:p w14:paraId="4655DBA7">
      <w:pPr>
        <w:rPr>
          <w:rFonts w:ascii="Times New Roman" w:hAnsi="Times New Roman"/>
          <w:color w:val="000000"/>
          <w:sz w:val="28"/>
        </w:rPr>
      </w:pPr>
    </w:p>
    <w:p w14:paraId="68D1D72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44"/>
          <w:szCs w:val="44"/>
          <w:lang w:val="en-US" w:eastAsia="zh-CN"/>
        </w:rPr>
      </w:pPr>
      <w:bookmarkStart w:id="1" w:name="_Toc15811"/>
      <w:r>
        <w:rPr>
          <w:rFonts w:hint="eastAsia" w:ascii="仿宋" w:hAnsi="仿宋" w:eastAsia="仿宋" w:cs="仿宋"/>
          <w:color w:val="000000"/>
          <w:sz w:val="44"/>
          <w:szCs w:val="44"/>
          <w:lang w:val="en-US" w:eastAsia="zh-CN"/>
        </w:rPr>
        <w:t>询比采购文件</w:t>
      </w:r>
      <w:bookmarkEnd w:id="1"/>
    </w:p>
    <w:p w14:paraId="61C1031E">
      <w:pPr>
        <w:spacing w:line="400" w:lineRule="exact"/>
        <w:rPr>
          <w:rFonts w:ascii="Times New Roman" w:hAnsi="Times New Roman"/>
          <w:color w:val="000000"/>
        </w:rPr>
      </w:pPr>
    </w:p>
    <w:p w14:paraId="47B3676F">
      <w:pPr>
        <w:spacing w:line="400" w:lineRule="exact"/>
        <w:rPr>
          <w:rFonts w:ascii="Times New Roman" w:hAnsi="Times New Roman"/>
          <w:color w:val="000000"/>
        </w:rPr>
      </w:pPr>
    </w:p>
    <w:p w14:paraId="5723667F">
      <w:pPr>
        <w:spacing w:line="400" w:lineRule="exact"/>
        <w:rPr>
          <w:rFonts w:ascii="Times New Roman" w:hAnsi="Times New Roman"/>
          <w:color w:val="000000"/>
        </w:rPr>
      </w:pPr>
    </w:p>
    <w:p w14:paraId="102A424A">
      <w:pPr>
        <w:spacing w:line="400" w:lineRule="exact"/>
        <w:rPr>
          <w:rFonts w:ascii="Times New Roman" w:hAnsi="Times New Roman"/>
          <w:color w:val="000000"/>
        </w:rPr>
      </w:pPr>
    </w:p>
    <w:p w14:paraId="4F458008">
      <w:pPr>
        <w:spacing w:line="400" w:lineRule="exact"/>
        <w:rPr>
          <w:rFonts w:ascii="Times New Roman" w:hAnsi="Times New Roman"/>
          <w:color w:val="000000"/>
        </w:rPr>
      </w:pPr>
    </w:p>
    <w:p w14:paraId="667F87A8">
      <w:pPr>
        <w:spacing w:line="400" w:lineRule="exact"/>
        <w:rPr>
          <w:rFonts w:ascii="Times New Roman" w:hAnsi="Times New Roman"/>
          <w:color w:val="000000"/>
        </w:rPr>
      </w:pPr>
    </w:p>
    <w:p w14:paraId="40052C8C">
      <w:pPr>
        <w:spacing w:line="400" w:lineRule="exact"/>
        <w:rPr>
          <w:rFonts w:ascii="Times New Roman" w:hAnsi="Times New Roman"/>
          <w:color w:val="000000"/>
        </w:rPr>
      </w:pPr>
    </w:p>
    <w:p w14:paraId="254791E7">
      <w:pPr>
        <w:spacing w:line="400" w:lineRule="exact"/>
        <w:rPr>
          <w:rFonts w:ascii="Times New Roman" w:hAnsi="Times New Roman"/>
          <w:color w:val="000000"/>
        </w:rPr>
      </w:pPr>
    </w:p>
    <w:p w14:paraId="168AEA46">
      <w:pPr>
        <w:spacing w:line="400" w:lineRule="exact"/>
        <w:rPr>
          <w:rFonts w:ascii="Times New Roman" w:hAnsi="Times New Roman"/>
          <w:color w:val="000000"/>
        </w:rPr>
      </w:pPr>
    </w:p>
    <w:p w14:paraId="18446073">
      <w:pPr>
        <w:spacing w:line="400" w:lineRule="exact"/>
        <w:rPr>
          <w:rFonts w:ascii="Times New Roman" w:hAnsi="Times New Roman"/>
          <w:color w:val="000000"/>
        </w:rPr>
      </w:pPr>
    </w:p>
    <w:p w14:paraId="232AFB9E">
      <w:pPr>
        <w:spacing w:line="400" w:lineRule="exact"/>
        <w:rPr>
          <w:rFonts w:ascii="Times New Roman" w:hAnsi="Times New Roman"/>
          <w:color w:val="000000"/>
        </w:rPr>
      </w:pPr>
    </w:p>
    <w:p w14:paraId="5CA0ECD6">
      <w:pPr>
        <w:spacing w:line="400" w:lineRule="exact"/>
        <w:rPr>
          <w:rFonts w:ascii="Times New Roman" w:hAnsi="Times New Roman"/>
          <w:color w:val="000000"/>
        </w:rPr>
      </w:pPr>
    </w:p>
    <w:p w14:paraId="73DA4010">
      <w:pPr>
        <w:spacing w:line="360" w:lineRule="auto"/>
        <w:ind w:firstLine="1680" w:firstLineChars="600"/>
        <w:jc w:val="both"/>
        <w:rPr>
          <w:rFonts w:hint="eastAsia" w:ascii="仿宋" w:hAnsi="仿宋" w:eastAsia="仿宋" w:cs="仿宋"/>
          <w:color w:val="000000"/>
          <w:sz w:val="28"/>
          <w:lang w:eastAsia="zh-CN"/>
        </w:rPr>
      </w:pPr>
      <w:r>
        <w:rPr>
          <w:rFonts w:hint="eastAsia" w:ascii="仿宋" w:hAnsi="仿宋" w:eastAsia="仿宋" w:cs="仿宋"/>
          <w:color w:val="000000"/>
          <w:sz w:val="28"/>
        </w:rPr>
        <w:t>采</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购</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人</w:t>
      </w:r>
      <w:r>
        <w:rPr>
          <w:rFonts w:hint="eastAsia" w:ascii="仿宋" w:hAnsi="仿宋" w:eastAsia="仿宋" w:cs="仿宋"/>
          <w:color w:val="000000"/>
          <w:sz w:val="28"/>
          <w:lang w:eastAsia="zh-CN"/>
        </w:rPr>
        <w:t>：界首市恒居建设发展有限公司</w:t>
      </w:r>
    </w:p>
    <w:p w14:paraId="33EDD00F">
      <w:pPr>
        <w:spacing w:line="360" w:lineRule="auto"/>
        <w:ind w:firstLine="1680" w:firstLineChars="600"/>
        <w:jc w:val="both"/>
        <w:rPr>
          <w:rFonts w:hint="eastAsia" w:ascii="仿宋" w:hAnsi="仿宋" w:eastAsia="仿宋" w:cs="仿宋"/>
          <w:color w:val="000000"/>
          <w:sz w:val="28"/>
        </w:rPr>
      </w:pPr>
      <w:r>
        <w:rPr>
          <w:rFonts w:hint="eastAsia" w:ascii="仿宋" w:hAnsi="仿宋" w:eastAsia="仿宋" w:cs="仿宋"/>
          <w:color w:val="000000"/>
          <w:sz w:val="28"/>
        </w:rPr>
        <w:t>采购代理机构：安徽省</w:t>
      </w:r>
      <w:r>
        <w:rPr>
          <w:rFonts w:hint="eastAsia" w:ascii="仿宋" w:hAnsi="仿宋" w:eastAsia="仿宋" w:cs="仿宋"/>
          <w:color w:val="000000"/>
          <w:sz w:val="28"/>
          <w:lang w:val="en-US" w:eastAsia="zh-CN"/>
        </w:rPr>
        <w:t>招标</w:t>
      </w:r>
      <w:r>
        <w:rPr>
          <w:rFonts w:hint="eastAsia" w:ascii="仿宋" w:hAnsi="仿宋" w:eastAsia="仿宋" w:cs="仿宋"/>
          <w:color w:val="000000"/>
          <w:sz w:val="28"/>
        </w:rPr>
        <w:t>集团股份有限公司</w:t>
      </w:r>
    </w:p>
    <w:p w14:paraId="0EBFFDBF">
      <w:pPr>
        <w:spacing w:line="360" w:lineRule="auto"/>
        <w:ind w:firstLine="1680" w:firstLineChars="600"/>
        <w:jc w:val="both"/>
        <w:rPr>
          <w:rFonts w:hint="default" w:ascii="仿宋" w:hAnsi="仿宋" w:eastAsia="仿宋" w:cs="仿宋"/>
          <w:color w:val="000000"/>
          <w:sz w:val="28"/>
          <w:lang w:val="en-US" w:eastAsia="zh-CN"/>
        </w:rPr>
      </w:pPr>
      <w:r>
        <w:rPr>
          <w:rFonts w:hint="eastAsia" w:ascii="仿宋" w:hAnsi="仿宋" w:eastAsia="仿宋" w:cs="仿宋"/>
          <w:color w:val="000000"/>
          <w:sz w:val="28"/>
          <w:lang w:val="en-US" w:eastAsia="zh-CN"/>
        </w:rPr>
        <w:t>日        期：2025年3月</w:t>
      </w:r>
    </w:p>
    <w:p w14:paraId="4D51F472">
      <w:pPr>
        <w:jc w:val="center"/>
        <w:rPr>
          <w:rFonts w:ascii="Times New Roman" w:hAnsi="Times New Roman" w:eastAsia="黑体"/>
          <w:color w:val="000000"/>
          <w:sz w:val="28"/>
        </w:rPr>
      </w:pPr>
    </w:p>
    <w:p w14:paraId="40BA199A">
      <w:pPr>
        <w:jc w:val="center"/>
        <w:rPr>
          <w:rFonts w:ascii="Times New Roman" w:hAnsi="Times New Roman" w:eastAsia="黑体"/>
          <w:color w:val="000000"/>
          <w:sz w:val="28"/>
        </w:rPr>
      </w:pPr>
    </w:p>
    <w:p w14:paraId="6901FD94">
      <w:pPr>
        <w:jc w:val="center"/>
        <w:rPr>
          <w:rFonts w:ascii="Times New Roman" w:hAnsi="Times New Roman"/>
          <w:color w:val="000000"/>
        </w:rPr>
      </w:pPr>
      <w:r>
        <w:rPr>
          <w:rFonts w:ascii="Times New Roman" w:hAnsi="Times New Roman"/>
          <w:color w:val="000000"/>
        </w:rPr>
        <w:br w:type="page"/>
      </w:r>
    </w:p>
    <w:p w14:paraId="5D2041E9">
      <w:pPr>
        <w:jc w:val="center"/>
        <w:rPr>
          <w:rFonts w:hint="eastAsia" w:ascii="仿宋" w:hAnsi="仿宋" w:eastAsia="仿宋" w:cs="仿宋"/>
          <w:b/>
          <w:bCs/>
          <w:color w:val="000000"/>
          <w:sz w:val="48"/>
          <w:szCs w:val="48"/>
        </w:rPr>
      </w:pPr>
      <w:r>
        <w:rPr>
          <w:rFonts w:hint="eastAsia" w:ascii="仿宋" w:hAnsi="仿宋" w:eastAsia="仿宋" w:cs="仿宋"/>
          <w:b/>
          <w:bCs/>
          <w:color w:val="000000"/>
          <w:sz w:val="48"/>
          <w:szCs w:val="48"/>
        </w:rPr>
        <w:t>目  录</w:t>
      </w:r>
    </w:p>
    <w:p w14:paraId="4DEA9414">
      <w:pPr>
        <w:jc w:val="center"/>
        <w:rPr>
          <w:rFonts w:ascii="Times New Roman" w:hAnsi="Times New Roman"/>
          <w:color w:val="000000"/>
        </w:rPr>
      </w:pPr>
    </w:p>
    <w:p w14:paraId="13D6ABAD">
      <w:pPr>
        <w:pStyle w:val="22"/>
        <w:tabs>
          <w:tab w:val="right" w:leader="dot" w:pos="9638"/>
        </w:tabs>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_Toc25215 </w:instrText>
      </w:r>
      <w:r>
        <w:rPr>
          <w:sz w:val="28"/>
          <w:szCs w:val="28"/>
        </w:rPr>
        <w:fldChar w:fldCharType="separate"/>
      </w:r>
      <w:r>
        <w:rPr>
          <w:rFonts w:hint="eastAsia" w:ascii="仿宋" w:hAnsi="仿宋" w:eastAsia="仿宋" w:cs="仿宋"/>
          <w:sz w:val="28"/>
          <w:szCs w:val="28"/>
        </w:rPr>
        <w:t>第一章  询比采购公告</w:t>
      </w:r>
      <w:r>
        <w:rPr>
          <w:sz w:val="28"/>
          <w:szCs w:val="28"/>
        </w:rPr>
        <w:tab/>
      </w:r>
      <w:r>
        <w:rPr>
          <w:sz w:val="28"/>
          <w:szCs w:val="28"/>
        </w:rPr>
        <w:fldChar w:fldCharType="begin"/>
      </w:r>
      <w:r>
        <w:rPr>
          <w:sz w:val="28"/>
          <w:szCs w:val="28"/>
        </w:rPr>
        <w:instrText xml:space="preserve"> PAGEREF _Toc25215 \h </w:instrText>
      </w:r>
      <w:r>
        <w:rPr>
          <w:sz w:val="28"/>
          <w:szCs w:val="28"/>
        </w:rPr>
        <w:fldChar w:fldCharType="separate"/>
      </w:r>
      <w:r>
        <w:rPr>
          <w:sz w:val="28"/>
          <w:szCs w:val="28"/>
        </w:rPr>
        <w:t>3</w:t>
      </w:r>
      <w:r>
        <w:rPr>
          <w:sz w:val="28"/>
          <w:szCs w:val="28"/>
        </w:rPr>
        <w:fldChar w:fldCharType="end"/>
      </w:r>
      <w:r>
        <w:rPr>
          <w:sz w:val="28"/>
          <w:szCs w:val="28"/>
        </w:rPr>
        <w:fldChar w:fldCharType="end"/>
      </w:r>
    </w:p>
    <w:p w14:paraId="3F62DBE7">
      <w:pPr>
        <w:pStyle w:val="22"/>
        <w:tabs>
          <w:tab w:val="right" w:leader="dot" w:pos="9638"/>
        </w:tabs>
        <w:rPr>
          <w:sz w:val="28"/>
          <w:szCs w:val="28"/>
        </w:rPr>
      </w:pPr>
      <w:r>
        <w:rPr>
          <w:sz w:val="28"/>
          <w:szCs w:val="28"/>
        </w:rPr>
        <w:fldChar w:fldCharType="begin"/>
      </w:r>
      <w:r>
        <w:rPr>
          <w:sz w:val="28"/>
          <w:szCs w:val="28"/>
        </w:rPr>
        <w:instrText xml:space="preserve"> HYPERLINK \l _Toc14930 </w:instrText>
      </w:r>
      <w:r>
        <w:rPr>
          <w:sz w:val="28"/>
          <w:szCs w:val="28"/>
        </w:rPr>
        <w:fldChar w:fldCharType="separate"/>
      </w:r>
      <w:r>
        <w:rPr>
          <w:rFonts w:hint="eastAsia" w:ascii="仿宋" w:hAnsi="仿宋" w:eastAsia="仿宋" w:cs="仿宋"/>
          <w:sz w:val="28"/>
          <w:szCs w:val="28"/>
        </w:rPr>
        <w:t>第二章  供应商须知</w:t>
      </w:r>
      <w:r>
        <w:rPr>
          <w:sz w:val="28"/>
          <w:szCs w:val="28"/>
        </w:rPr>
        <w:tab/>
      </w:r>
      <w:r>
        <w:rPr>
          <w:sz w:val="28"/>
          <w:szCs w:val="28"/>
        </w:rPr>
        <w:fldChar w:fldCharType="begin"/>
      </w:r>
      <w:r>
        <w:rPr>
          <w:sz w:val="28"/>
          <w:szCs w:val="28"/>
        </w:rPr>
        <w:instrText xml:space="preserve"> PAGEREF _Toc14930 \h </w:instrText>
      </w:r>
      <w:r>
        <w:rPr>
          <w:sz w:val="28"/>
          <w:szCs w:val="28"/>
        </w:rPr>
        <w:fldChar w:fldCharType="separate"/>
      </w:r>
      <w:r>
        <w:rPr>
          <w:sz w:val="28"/>
          <w:szCs w:val="28"/>
        </w:rPr>
        <w:t>8</w:t>
      </w:r>
      <w:r>
        <w:rPr>
          <w:sz w:val="28"/>
          <w:szCs w:val="28"/>
        </w:rPr>
        <w:fldChar w:fldCharType="end"/>
      </w:r>
      <w:r>
        <w:rPr>
          <w:sz w:val="28"/>
          <w:szCs w:val="28"/>
        </w:rPr>
        <w:fldChar w:fldCharType="end"/>
      </w:r>
    </w:p>
    <w:p w14:paraId="3B53722D">
      <w:pPr>
        <w:pStyle w:val="22"/>
        <w:tabs>
          <w:tab w:val="right" w:leader="dot" w:pos="9638"/>
        </w:tabs>
        <w:rPr>
          <w:sz w:val="28"/>
          <w:szCs w:val="28"/>
        </w:rPr>
      </w:pPr>
      <w:r>
        <w:rPr>
          <w:sz w:val="28"/>
          <w:szCs w:val="28"/>
        </w:rPr>
        <w:fldChar w:fldCharType="begin"/>
      </w:r>
      <w:r>
        <w:rPr>
          <w:sz w:val="28"/>
          <w:szCs w:val="28"/>
        </w:rPr>
        <w:instrText xml:space="preserve"> HYPERLINK \l _Toc19317 </w:instrText>
      </w:r>
      <w:r>
        <w:rPr>
          <w:sz w:val="28"/>
          <w:szCs w:val="28"/>
        </w:rPr>
        <w:fldChar w:fldCharType="separate"/>
      </w:r>
      <w:r>
        <w:rPr>
          <w:rFonts w:hint="eastAsia" w:ascii="仿宋" w:hAnsi="仿宋" w:eastAsia="仿宋" w:cs="仿宋"/>
          <w:sz w:val="28"/>
          <w:szCs w:val="28"/>
        </w:rPr>
        <w:t>第三章  评审办法</w:t>
      </w:r>
      <w:r>
        <w:rPr>
          <w:rFonts w:hint="eastAsia" w:ascii="仿宋" w:hAnsi="仿宋" w:eastAsia="仿宋" w:cs="仿宋"/>
          <w:sz w:val="28"/>
          <w:szCs w:val="28"/>
          <w:lang w:val="en-US" w:eastAsia="zh-CN"/>
        </w:rPr>
        <w:t>（综合评分法）</w:t>
      </w:r>
      <w:r>
        <w:rPr>
          <w:sz w:val="28"/>
          <w:szCs w:val="28"/>
        </w:rPr>
        <w:tab/>
      </w:r>
      <w:r>
        <w:rPr>
          <w:sz w:val="28"/>
          <w:szCs w:val="28"/>
        </w:rPr>
        <w:fldChar w:fldCharType="begin"/>
      </w:r>
      <w:r>
        <w:rPr>
          <w:sz w:val="28"/>
          <w:szCs w:val="28"/>
        </w:rPr>
        <w:instrText xml:space="preserve"> PAGEREF _Toc19317 \h </w:instrText>
      </w:r>
      <w:r>
        <w:rPr>
          <w:sz w:val="28"/>
          <w:szCs w:val="28"/>
        </w:rPr>
        <w:fldChar w:fldCharType="separate"/>
      </w:r>
      <w:r>
        <w:rPr>
          <w:sz w:val="28"/>
          <w:szCs w:val="28"/>
        </w:rPr>
        <w:t>25</w:t>
      </w:r>
      <w:r>
        <w:rPr>
          <w:sz w:val="28"/>
          <w:szCs w:val="28"/>
        </w:rPr>
        <w:fldChar w:fldCharType="end"/>
      </w:r>
      <w:r>
        <w:rPr>
          <w:sz w:val="28"/>
          <w:szCs w:val="28"/>
        </w:rPr>
        <w:fldChar w:fldCharType="end"/>
      </w:r>
    </w:p>
    <w:p w14:paraId="79069CC2">
      <w:pPr>
        <w:pStyle w:val="22"/>
        <w:tabs>
          <w:tab w:val="right" w:leader="dot" w:pos="9638"/>
        </w:tabs>
        <w:rPr>
          <w:sz w:val="28"/>
          <w:szCs w:val="28"/>
        </w:rPr>
      </w:pPr>
      <w:r>
        <w:rPr>
          <w:sz w:val="28"/>
          <w:szCs w:val="28"/>
        </w:rPr>
        <w:fldChar w:fldCharType="begin"/>
      </w:r>
      <w:r>
        <w:rPr>
          <w:sz w:val="28"/>
          <w:szCs w:val="28"/>
        </w:rPr>
        <w:instrText xml:space="preserve"> HYPERLINK \l _Toc29988 </w:instrText>
      </w:r>
      <w:r>
        <w:rPr>
          <w:sz w:val="28"/>
          <w:szCs w:val="28"/>
        </w:rPr>
        <w:fldChar w:fldCharType="separate"/>
      </w:r>
      <w:r>
        <w:rPr>
          <w:rFonts w:hint="eastAsia" w:ascii="仿宋" w:hAnsi="仿宋" w:eastAsia="仿宋" w:cs="仿宋"/>
          <w:sz w:val="28"/>
          <w:szCs w:val="28"/>
          <w:highlight w:val="none"/>
          <w:lang w:val="en-US" w:eastAsia="zh-CN"/>
        </w:rPr>
        <w:t>第四章</w:t>
      </w:r>
      <w:r>
        <w:rPr>
          <w:rFonts w:hint="eastAsia" w:ascii="仿宋" w:hAnsi="仿宋" w:eastAsia="仿宋" w:cs="仿宋"/>
          <w:sz w:val="28"/>
          <w:szCs w:val="28"/>
          <w:highlight w:val="none"/>
        </w:rPr>
        <w:t xml:space="preserve"> 合同条款及格式</w:t>
      </w:r>
      <w:r>
        <w:rPr>
          <w:sz w:val="28"/>
          <w:szCs w:val="28"/>
        </w:rPr>
        <w:tab/>
      </w:r>
      <w:r>
        <w:rPr>
          <w:sz w:val="28"/>
          <w:szCs w:val="28"/>
        </w:rPr>
        <w:fldChar w:fldCharType="begin"/>
      </w:r>
      <w:r>
        <w:rPr>
          <w:sz w:val="28"/>
          <w:szCs w:val="28"/>
        </w:rPr>
        <w:instrText xml:space="preserve"> PAGEREF _Toc29988 \h </w:instrText>
      </w:r>
      <w:r>
        <w:rPr>
          <w:sz w:val="28"/>
          <w:szCs w:val="28"/>
        </w:rPr>
        <w:fldChar w:fldCharType="separate"/>
      </w:r>
      <w:r>
        <w:rPr>
          <w:sz w:val="28"/>
          <w:szCs w:val="28"/>
        </w:rPr>
        <w:t>33</w:t>
      </w:r>
      <w:r>
        <w:rPr>
          <w:sz w:val="28"/>
          <w:szCs w:val="28"/>
        </w:rPr>
        <w:fldChar w:fldCharType="end"/>
      </w:r>
      <w:r>
        <w:rPr>
          <w:sz w:val="28"/>
          <w:szCs w:val="28"/>
        </w:rPr>
        <w:fldChar w:fldCharType="end"/>
      </w:r>
    </w:p>
    <w:p w14:paraId="48575476">
      <w:pPr>
        <w:pStyle w:val="22"/>
        <w:tabs>
          <w:tab w:val="right" w:leader="dot" w:pos="9638"/>
        </w:tabs>
        <w:rPr>
          <w:sz w:val="28"/>
          <w:szCs w:val="28"/>
        </w:rPr>
      </w:pPr>
      <w:r>
        <w:rPr>
          <w:sz w:val="28"/>
          <w:szCs w:val="28"/>
        </w:rPr>
        <w:fldChar w:fldCharType="begin"/>
      </w:r>
      <w:r>
        <w:rPr>
          <w:sz w:val="28"/>
          <w:szCs w:val="28"/>
        </w:rPr>
        <w:instrText xml:space="preserve"> HYPERLINK \l _Toc11261 </w:instrText>
      </w:r>
      <w:r>
        <w:rPr>
          <w:sz w:val="28"/>
          <w:szCs w:val="28"/>
        </w:rPr>
        <w:fldChar w:fldCharType="separate"/>
      </w:r>
      <w:r>
        <w:rPr>
          <w:rFonts w:hint="eastAsia" w:ascii="仿宋" w:hAnsi="仿宋" w:eastAsia="仿宋" w:cs="仿宋"/>
          <w:sz w:val="28"/>
          <w:szCs w:val="28"/>
        </w:rPr>
        <w:t xml:space="preserve">第五章  </w:t>
      </w:r>
      <w:r>
        <w:rPr>
          <w:rFonts w:hint="eastAsia" w:ascii="仿宋" w:hAnsi="仿宋" w:eastAsia="仿宋" w:cs="仿宋"/>
          <w:sz w:val="28"/>
          <w:szCs w:val="28"/>
          <w:lang w:val="en-US" w:eastAsia="zh-CN"/>
        </w:rPr>
        <w:t>服务</w:t>
      </w:r>
      <w:r>
        <w:rPr>
          <w:rFonts w:hint="eastAsia" w:ascii="仿宋" w:hAnsi="仿宋" w:eastAsia="仿宋" w:cs="仿宋"/>
          <w:sz w:val="28"/>
          <w:szCs w:val="28"/>
        </w:rPr>
        <w:t>需求</w:t>
      </w:r>
      <w:r>
        <w:rPr>
          <w:sz w:val="28"/>
          <w:szCs w:val="28"/>
        </w:rPr>
        <w:tab/>
      </w:r>
      <w:r>
        <w:rPr>
          <w:sz w:val="28"/>
          <w:szCs w:val="28"/>
        </w:rPr>
        <w:fldChar w:fldCharType="begin"/>
      </w:r>
      <w:r>
        <w:rPr>
          <w:sz w:val="28"/>
          <w:szCs w:val="28"/>
        </w:rPr>
        <w:instrText xml:space="preserve"> PAGEREF _Toc11261 \h </w:instrText>
      </w:r>
      <w:r>
        <w:rPr>
          <w:sz w:val="28"/>
          <w:szCs w:val="28"/>
        </w:rPr>
        <w:fldChar w:fldCharType="separate"/>
      </w:r>
      <w:r>
        <w:rPr>
          <w:sz w:val="28"/>
          <w:szCs w:val="28"/>
        </w:rPr>
        <w:t>48</w:t>
      </w:r>
      <w:r>
        <w:rPr>
          <w:sz w:val="28"/>
          <w:szCs w:val="28"/>
        </w:rPr>
        <w:fldChar w:fldCharType="end"/>
      </w:r>
      <w:r>
        <w:rPr>
          <w:sz w:val="28"/>
          <w:szCs w:val="28"/>
        </w:rPr>
        <w:fldChar w:fldCharType="end"/>
      </w:r>
    </w:p>
    <w:p w14:paraId="7FC3C1C3">
      <w:pPr>
        <w:pStyle w:val="22"/>
        <w:tabs>
          <w:tab w:val="right" w:leader="dot" w:pos="9638"/>
        </w:tabs>
        <w:rPr>
          <w:sz w:val="28"/>
          <w:szCs w:val="28"/>
        </w:rPr>
      </w:pPr>
      <w:r>
        <w:rPr>
          <w:sz w:val="28"/>
          <w:szCs w:val="28"/>
        </w:rPr>
        <w:fldChar w:fldCharType="begin"/>
      </w:r>
      <w:r>
        <w:rPr>
          <w:sz w:val="28"/>
          <w:szCs w:val="28"/>
        </w:rPr>
        <w:instrText xml:space="preserve"> HYPERLINK \l _Toc18995 </w:instrText>
      </w:r>
      <w:r>
        <w:rPr>
          <w:sz w:val="28"/>
          <w:szCs w:val="28"/>
        </w:rPr>
        <w:fldChar w:fldCharType="separate"/>
      </w:r>
      <w:r>
        <w:rPr>
          <w:rFonts w:hint="eastAsia" w:ascii="仿宋" w:hAnsi="仿宋" w:eastAsia="仿宋" w:cs="仿宋"/>
          <w:sz w:val="28"/>
          <w:szCs w:val="28"/>
        </w:rPr>
        <w:t>第六章  响应文件格式</w:t>
      </w:r>
      <w:r>
        <w:rPr>
          <w:sz w:val="28"/>
          <w:szCs w:val="28"/>
        </w:rPr>
        <w:tab/>
      </w:r>
      <w:r>
        <w:rPr>
          <w:sz w:val="28"/>
          <w:szCs w:val="28"/>
        </w:rPr>
        <w:fldChar w:fldCharType="begin"/>
      </w:r>
      <w:r>
        <w:rPr>
          <w:sz w:val="28"/>
          <w:szCs w:val="28"/>
        </w:rPr>
        <w:instrText xml:space="preserve"> PAGEREF _Toc18995 \h </w:instrText>
      </w:r>
      <w:r>
        <w:rPr>
          <w:sz w:val="28"/>
          <w:szCs w:val="28"/>
        </w:rPr>
        <w:fldChar w:fldCharType="separate"/>
      </w:r>
      <w:r>
        <w:rPr>
          <w:sz w:val="28"/>
          <w:szCs w:val="28"/>
        </w:rPr>
        <w:t>50</w:t>
      </w:r>
      <w:r>
        <w:rPr>
          <w:sz w:val="28"/>
          <w:szCs w:val="28"/>
        </w:rPr>
        <w:fldChar w:fldCharType="end"/>
      </w:r>
      <w:r>
        <w:rPr>
          <w:sz w:val="28"/>
          <w:szCs w:val="28"/>
        </w:rPr>
        <w:fldChar w:fldCharType="end"/>
      </w:r>
    </w:p>
    <w:p w14:paraId="378D608E">
      <w:r>
        <w:rPr>
          <w:sz w:val="28"/>
          <w:szCs w:val="28"/>
        </w:rPr>
        <w:fldChar w:fldCharType="end"/>
      </w:r>
    </w:p>
    <w:p w14:paraId="73D42026">
      <w:pPr>
        <w:jc w:val="center"/>
        <w:rPr>
          <w:rFonts w:cs="黑体" w:asciiTheme="majorEastAsia" w:hAnsiTheme="majorEastAsia" w:eastAsiaTheme="majorEastAsia"/>
          <w:sz w:val="72"/>
          <w:szCs w:val="72"/>
        </w:rPr>
      </w:pPr>
      <w:r>
        <w:rPr>
          <w:rFonts w:hint="eastAsia" w:ascii="仿宋" w:hAnsi="仿宋" w:eastAsia="仿宋" w:cs="仿宋"/>
          <w:i w:val="0"/>
          <w:iCs w:val="0"/>
          <w:color w:val="000000"/>
          <w:sz w:val="21"/>
          <w:szCs w:val="21"/>
        </w:rPr>
        <w:br w:type="page"/>
      </w:r>
      <w:bookmarkStart w:id="2" w:name="_Toc501460631"/>
      <w:bookmarkStart w:id="3" w:name="_Toc144974479"/>
      <w:bookmarkStart w:id="4" w:name="_Toc152045511"/>
      <w:bookmarkStart w:id="5" w:name="_Toc152042287"/>
    </w:p>
    <w:p w14:paraId="1B9AEBFF">
      <w:pPr>
        <w:pStyle w:val="2"/>
        <w:numPr>
          <w:ilvl w:val="0"/>
          <w:numId w:val="0"/>
        </w:numPr>
        <w:spacing w:line="240" w:lineRule="auto"/>
        <w:jc w:val="center"/>
        <w:rPr>
          <w:rFonts w:hint="eastAsia" w:ascii="仿宋" w:hAnsi="仿宋" w:eastAsia="仿宋" w:cs="仿宋"/>
          <w:b/>
          <w:sz w:val="32"/>
          <w:szCs w:val="32"/>
        </w:rPr>
      </w:pPr>
      <w:bookmarkStart w:id="6" w:name="_Toc25215"/>
      <w:bookmarkStart w:id="7" w:name="_Toc9201"/>
      <w:r>
        <w:rPr>
          <w:rFonts w:hint="eastAsia" w:ascii="仿宋" w:hAnsi="仿宋" w:eastAsia="仿宋" w:cs="仿宋"/>
          <w:b/>
          <w:sz w:val="44"/>
          <w:szCs w:val="44"/>
        </w:rPr>
        <w:t>第一章  询比采购公告</w:t>
      </w:r>
      <w:bookmarkEnd w:id="6"/>
      <w:bookmarkEnd w:id="7"/>
    </w:p>
    <w:bookmarkEnd w:id="2"/>
    <w:p w14:paraId="17A27E3D">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outlineLvl w:val="1"/>
        <w:rPr>
          <w:rFonts w:hint="eastAsia" w:ascii="宋体" w:hAnsi="宋体" w:eastAsia="宋体" w:cs="宋体"/>
          <w:b/>
          <w:bCs/>
          <w:sz w:val="44"/>
          <w:szCs w:val="44"/>
        </w:rPr>
      </w:pPr>
      <w:bookmarkStart w:id="8" w:name="_Toc501460633"/>
      <w:bookmarkStart w:id="9" w:name="_Toc501460632"/>
      <w:bookmarkStart w:id="10" w:name="_Toc23484"/>
      <w:bookmarkStart w:id="11" w:name="_Toc23359"/>
      <w:bookmarkStart w:id="12" w:name="_Toc501460634"/>
      <w:bookmarkStart w:id="13" w:name="_Toc501460653"/>
      <w:bookmarkStart w:id="14" w:name="_Toc8628"/>
      <w:r>
        <w:rPr>
          <w:rFonts w:hint="eastAsia" w:ascii="宋体" w:hAnsi="宋体" w:eastAsia="宋体" w:cs="宋体"/>
          <w:b/>
          <w:bCs/>
          <w:sz w:val="44"/>
          <w:szCs w:val="44"/>
          <w:u w:val="none"/>
          <w:lang w:eastAsia="zh-CN"/>
        </w:rPr>
        <w:t>界首市恒居建设发展有限公司2024—2026年度财务年报审计项目</w:t>
      </w:r>
      <w:r>
        <w:rPr>
          <w:rFonts w:hint="eastAsia" w:ascii="宋体" w:hAnsi="宋体" w:eastAsia="宋体" w:cs="宋体"/>
          <w:b/>
          <w:bCs/>
          <w:sz w:val="44"/>
          <w:szCs w:val="44"/>
          <w:lang w:val="en-US" w:eastAsia="zh-CN"/>
        </w:rPr>
        <w:t>询比</w:t>
      </w:r>
      <w:r>
        <w:rPr>
          <w:rFonts w:hint="eastAsia" w:ascii="宋体" w:hAnsi="宋体" w:eastAsia="宋体" w:cs="宋体"/>
          <w:b/>
          <w:bCs/>
          <w:sz w:val="44"/>
          <w:szCs w:val="44"/>
        </w:rPr>
        <w:t>采购公告</w:t>
      </w:r>
    </w:p>
    <w:p w14:paraId="44DD8A5A">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outlineLvl w:val="1"/>
        <w:rPr>
          <w:rFonts w:hint="eastAsia"/>
        </w:rPr>
      </w:pPr>
    </w:p>
    <w:bookmarkEnd w:id="8"/>
    <w:p w14:paraId="4031B5BC">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采购项目简介</w:t>
      </w:r>
      <w:bookmarkEnd w:id="9"/>
      <w:bookmarkEnd w:id="10"/>
      <w:bookmarkEnd w:id="11"/>
    </w:p>
    <w:p w14:paraId="10E0DE07">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采购项目名称：</w:t>
      </w:r>
      <w:r>
        <w:rPr>
          <w:rFonts w:hint="eastAsia" w:ascii="仿宋" w:hAnsi="仿宋" w:eastAsia="仿宋" w:cs="仿宋"/>
          <w:b w:val="0"/>
          <w:bCs/>
          <w:color w:val="000000"/>
          <w:sz w:val="28"/>
          <w:szCs w:val="28"/>
          <w:lang w:eastAsia="zh-CN"/>
        </w:rPr>
        <w:t>界首市恒居建设发展有限公司2024—2026年度财务年报审计项目</w:t>
      </w:r>
    </w:p>
    <w:p w14:paraId="7A62899E">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采购人：</w:t>
      </w:r>
      <w:r>
        <w:rPr>
          <w:rFonts w:hint="eastAsia" w:ascii="仿宋" w:hAnsi="仿宋" w:eastAsia="仿宋" w:cs="仿宋"/>
          <w:b w:val="0"/>
          <w:bCs/>
          <w:color w:val="000000"/>
          <w:sz w:val="28"/>
          <w:szCs w:val="28"/>
          <w:lang w:eastAsia="zh-CN"/>
        </w:rPr>
        <w:t>界首市恒居建设发展有限公司</w:t>
      </w:r>
    </w:p>
    <w:p w14:paraId="2A4A538F">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采购代理机构：</w:t>
      </w:r>
      <w:r>
        <w:rPr>
          <w:rFonts w:hint="eastAsia" w:ascii="仿宋" w:hAnsi="仿宋" w:eastAsia="仿宋" w:cs="仿宋"/>
          <w:b w:val="0"/>
          <w:bCs/>
          <w:color w:val="000000"/>
          <w:sz w:val="28"/>
          <w:szCs w:val="28"/>
          <w:lang w:eastAsia="zh-CN"/>
        </w:rPr>
        <w:t>安徽省招标集团股份有限公司</w:t>
      </w:r>
    </w:p>
    <w:p w14:paraId="3B2F8CC3">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rPr>
        <w:t>采购项目资金落实情况：</w:t>
      </w:r>
      <w:r>
        <w:rPr>
          <w:rFonts w:hint="eastAsia" w:ascii="仿宋" w:hAnsi="仿宋" w:eastAsia="仿宋" w:cs="仿宋"/>
          <w:b w:val="0"/>
          <w:bCs/>
          <w:color w:val="000000"/>
          <w:sz w:val="28"/>
          <w:szCs w:val="28"/>
          <w:lang w:val="en-US" w:eastAsia="zh-CN"/>
        </w:rPr>
        <w:t>已落实</w:t>
      </w:r>
    </w:p>
    <w:p w14:paraId="79D320E8">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采购项目</w:t>
      </w:r>
      <w:r>
        <w:rPr>
          <w:rFonts w:hint="eastAsia" w:ascii="仿宋" w:hAnsi="仿宋" w:eastAsia="仿宋" w:cs="仿宋"/>
          <w:b w:val="0"/>
          <w:bCs/>
          <w:color w:val="000000"/>
          <w:sz w:val="28"/>
          <w:szCs w:val="28"/>
          <w:lang w:val="en-US" w:eastAsia="zh-CN"/>
        </w:rPr>
        <w:t>编号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lang w:val="en-US" w:eastAsia="zh-CN"/>
        </w:rPr>
        <w:t>GN2025-03-1976</w:t>
      </w:r>
    </w:p>
    <w:p w14:paraId="5A6D77AA">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eastAsia="zh-CN"/>
        </w:rPr>
        <w:t>采购包划分：</w:t>
      </w:r>
      <w:r>
        <w:rPr>
          <w:rFonts w:hint="default" w:ascii="仿宋" w:hAnsi="仿宋" w:eastAsia="仿宋" w:cs="仿宋"/>
          <w:b w:val="0"/>
          <w:bCs/>
          <w:color w:val="000000"/>
          <w:sz w:val="28"/>
          <w:szCs w:val="28"/>
          <w:lang w:eastAsia="zh-CN"/>
        </w:rPr>
        <w:t>1</w:t>
      </w:r>
      <w:r>
        <w:rPr>
          <w:rFonts w:hint="eastAsia" w:ascii="仿宋" w:hAnsi="仿宋" w:eastAsia="仿宋" w:cs="仿宋"/>
          <w:b w:val="0"/>
          <w:bCs/>
          <w:color w:val="000000"/>
          <w:sz w:val="28"/>
          <w:szCs w:val="28"/>
          <w:lang w:val="en-US" w:eastAsia="zh-CN"/>
        </w:rPr>
        <w:t>个标包</w:t>
      </w:r>
    </w:p>
    <w:p w14:paraId="57AB557B">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bookmarkStart w:id="15" w:name="_Toc14191"/>
      <w:r>
        <w:rPr>
          <w:rFonts w:hint="eastAsia" w:ascii="仿宋" w:hAnsi="仿宋" w:eastAsia="仿宋" w:cs="仿宋"/>
          <w:b w:val="0"/>
          <w:bCs/>
          <w:color w:val="000000"/>
          <w:sz w:val="28"/>
          <w:szCs w:val="28"/>
          <w:lang w:val="en-US" w:eastAsia="zh-CN"/>
        </w:rPr>
        <w:t>成交供应商数量：1家。</w:t>
      </w:r>
      <w:bookmarkEnd w:id="15"/>
    </w:p>
    <w:bookmarkEnd w:id="12"/>
    <w:bookmarkEnd w:id="13"/>
    <w:bookmarkEnd w:id="14"/>
    <w:p w14:paraId="07B704E7">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黑体" w:hAnsi="黑体" w:eastAsia="黑体" w:cs="黑体"/>
          <w:b w:val="0"/>
          <w:bCs/>
          <w:color w:val="000000"/>
          <w:sz w:val="28"/>
          <w:szCs w:val="28"/>
          <w:lang w:val="en-US" w:eastAsia="zh-CN"/>
        </w:rPr>
      </w:pPr>
      <w:bookmarkStart w:id="16" w:name="_Toc7478"/>
      <w:bookmarkStart w:id="17" w:name="_Toc30210"/>
      <w:bookmarkStart w:id="18" w:name="_Toc27331"/>
      <w:bookmarkStart w:id="19" w:name="_Toc7098"/>
      <w:bookmarkStart w:id="20" w:name="_Toc18593"/>
      <w:bookmarkStart w:id="21" w:name="_Toc9254"/>
      <w:bookmarkStart w:id="22" w:name="_Toc13326"/>
      <w:bookmarkStart w:id="23" w:name="_Toc15646"/>
      <w:bookmarkStart w:id="24" w:name="_Toc1141"/>
      <w:bookmarkStart w:id="25" w:name="_Toc151393373"/>
      <w:bookmarkStart w:id="26" w:name="_Toc7114"/>
      <w:bookmarkStart w:id="27" w:name="_Toc501460635"/>
      <w:r>
        <w:rPr>
          <w:rFonts w:hint="eastAsia" w:ascii="黑体" w:hAnsi="黑体" w:eastAsia="黑体" w:cs="黑体"/>
          <w:b w:val="0"/>
          <w:bCs/>
          <w:color w:val="000000"/>
          <w:sz w:val="28"/>
          <w:szCs w:val="28"/>
          <w:lang w:val="en-US" w:eastAsia="zh-CN"/>
        </w:rPr>
        <w:t>项目概况与采购范围</w:t>
      </w:r>
      <w:bookmarkEnd w:id="16"/>
      <w:bookmarkEnd w:id="17"/>
      <w:bookmarkEnd w:id="18"/>
      <w:bookmarkEnd w:id="19"/>
      <w:bookmarkEnd w:id="20"/>
      <w:bookmarkEnd w:id="21"/>
      <w:bookmarkEnd w:id="22"/>
      <w:bookmarkEnd w:id="23"/>
      <w:bookmarkEnd w:id="24"/>
      <w:bookmarkEnd w:id="25"/>
    </w:p>
    <w:p w14:paraId="3F33B53D">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bookmarkStart w:id="28" w:name="_Toc17422"/>
      <w:bookmarkStart w:id="29" w:name="_Toc14482"/>
      <w:bookmarkStart w:id="30" w:name="_Toc15916"/>
      <w:bookmarkStart w:id="31" w:name="_Toc151393374"/>
      <w:bookmarkStart w:id="32" w:name="_Toc7298"/>
      <w:r>
        <w:rPr>
          <w:rFonts w:hint="eastAsia" w:ascii="仿宋" w:hAnsi="仿宋" w:eastAsia="仿宋" w:cs="仿宋"/>
          <w:b w:val="0"/>
          <w:bCs/>
          <w:color w:val="000000"/>
          <w:sz w:val="28"/>
          <w:szCs w:val="28"/>
          <w:lang w:val="en-US" w:eastAsia="zh-CN"/>
        </w:rPr>
        <w:t xml:space="preserve">采购项目编号：GN2025-03-1976 </w:t>
      </w:r>
    </w:p>
    <w:p w14:paraId="01565F08">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采购包划分：1个包</w:t>
      </w:r>
    </w:p>
    <w:p w14:paraId="032FF87F">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采购范围：界首市恒居建设发展有限公司2024——2026年度财务年报审计报告及季报编制工作,审计报告电子版及纸质版归采购人所有，其中2024年须提供年报审计报告，2025年-2026年须提供年报审计报告和季报审计报告。</w:t>
      </w:r>
    </w:p>
    <w:p w14:paraId="29AB110F">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服务期限：3年，每个年度财务审计报告在收到采购人通知后30个日历天内完成全财务审计报告编制工作并提交成果文件；每个季度财务审计报告在收到采购人通知后10个日历天内完成全财务审计报告编制工作并提交成果文件。</w:t>
      </w:r>
    </w:p>
    <w:p w14:paraId="33C5D97A">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服务地点：界首市恒居建设发展有限公司</w:t>
      </w:r>
    </w:p>
    <w:p w14:paraId="7DF3F2E4">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合同估算价：70000.00元/年</w:t>
      </w:r>
      <w:bookmarkEnd w:id="28"/>
      <w:bookmarkEnd w:id="29"/>
      <w:bookmarkEnd w:id="30"/>
      <w:bookmarkEnd w:id="31"/>
      <w:bookmarkEnd w:id="32"/>
    </w:p>
    <w:p w14:paraId="1F0E4551">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425" w:leftChars="0" w:hanging="425" w:firstLineChars="0"/>
        <w:textAlignment w:val="auto"/>
        <w:rPr>
          <w:rFonts w:hint="eastAsia" w:ascii="黑体" w:hAnsi="黑体" w:eastAsia="黑体" w:cs="黑体"/>
          <w:b w:val="0"/>
          <w:bCs/>
          <w:color w:val="000000"/>
          <w:sz w:val="28"/>
          <w:szCs w:val="28"/>
        </w:rPr>
      </w:pPr>
      <w:bookmarkStart w:id="33" w:name="_Toc25697"/>
      <w:r>
        <w:rPr>
          <w:rFonts w:hint="eastAsia" w:ascii="黑体" w:hAnsi="黑体" w:eastAsia="黑体" w:cs="黑体"/>
          <w:b w:val="0"/>
          <w:bCs/>
          <w:color w:val="000000"/>
          <w:sz w:val="28"/>
          <w:szCs w:val="28"/>
        </w:rPr>
        <w:t>供应商资格要求</w:t>
      </w:r>
      <w:bookmarkEnd w:id="26"/>
      <w:bookmarkEnd w:id="33"/>
    </w:p>
    <w:p w14:paraId="62751D5B">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供应商具有合格有效的营业执照，具有行业主管部门颁发的有效的会计师事务所执业资格</w:t>
      </w:r>
    </w:p>
    <w:p w14:paraId="01849DBE">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供应商（不含其母子公司或分支机构）信誉要求：</w:t>
      </w:r>
    </w:p>
    <w:p w14:paraId="5E928324">
      <w:pPr>
        <w:pStyle w:val="29"/>
        <w:pageBreakBefore w:val="0"/>
        <w:shd w:val="clear" w:color="auto" w:fill="FFFFFF"/>
        <w:kinsoku/>
        <w:wordWrap/>
        <w:overflowPunct/>
        <w:topLinePunct w:val="0"/>
        <w:bidi w:val="0"/>
        <w:spacing w:before="0" w:beforeAutospacing="0" w:after="0" w:afterAutospacing="0" w:line="560" w:lineRule="exact"/>
        <w:ind w:right="0"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（1）供应商未被最高人民法院列入失信被执行人名单；</w:t>
      </w:r>
    </w:p>
    <w:p w14:paraId="0F5AF3A2">
      <w:pPr>
        <w:pStyle w:val="29"/>
        <w:pageBreakBefore w:val="0"/>
        <w:shd w:val="clear" w:color="auto" w:fill="FFFFFF"/>
        <w:kinsoku/>
        <w:wordWrap/>
        <w:overflowPunct/>
        <w:topLinePunct w:val="0"/>
        <w:bidi w:val="0"/>
        <w:spacing w:before="0" w:beforeAutospacing="0" w:after="0" w:afterAutospacing="0" w:line="560" w:lineRule="exact"/>
        <w:ind w:right="0"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（2）供应商未被列入政府采购严重违法失信名单；</w:t>
      </w:r>
    </w:p>
    <w:p w14:paraId="1F4E74B7">
      <w:pPr>
        <w:pStyle w:val="29"/>
        <w:pageBreakBefore w:val="0"/>
        <w:shd w:val="clear" w:color="auto" w:fill="FFFFFF"/>
        <w:kinsoku/>
        <w:wordWrap/>
        <w:overflowPunct/>
        <w:topLinePunct w:val="0"/>
        <w:bidi w:val="0"/>
        <w:spacing w:before="0" w:beforeAutospacing="0" w:after="0" w:afterAutospacing="0" w:line="560" w:lineRule="exact"/>
        <w:ind w:right="0"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（3）供应商未被列入重大税收违法案件当事人名单。</w:t>
      </w:r>
    </w:p>
    <w:p w14:paraId="4186601B">
      <w:pPr>
        <w:pStyle w:val="29"/>
        <w:pageBreakBefore w:val="0"/>
        <w:shd w:val="clear" w:color="auto" w:fill="FFFFFF"/>
        <w:kinsoku/>
        <w:wordWrap/>
        <w:overflowPunct/>
        <w:topLinePunct w:val="0"/>
        <w:bidi w:val="0"/>
        <w:spacing w:before="0" w:beforeAutospacing="0" w:after="0" w:afterAutospacing="0" w:line="560" w:lineRule="exact"/>
        <w:ind w:right="0"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以“信用中国”网站查询结果为准，供应商须提供相关网站截图。</w:t>
      </w:r>
    </w:p>
    <w:p w14:paraId="2014676B">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本项目不接受联合体参与。</w:t>
      </w:r>
    </w:p>
    <w:bookmarkEnd w:id="27"/>
    <w:p w14:paraId="42746AB6">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425" w:leftChars="0" w:hanging="425" w:firstLineChars="0"/>
        <w:textAlignment w:val="auto"/>
        <w:rPr>
          <w:rFonts w:hint="eastAsia" w:ascii="黑体" w:hAnsi="黑体" w:eastAsia="黑体" w:cs="黑体"/>
          <w:b w:val="0"/>
          <w:bCs/>
          <w:color w:val="000000"/>
          <w:sz w:val="28"/>
          <w:szCs w:val="28"/>
        </w:rPr>
      </w:pPr>
      <w:bookmarkStart w:id="34" w:name="_Toc4759"/>
      <w:bookmarkStart w:id="35" w:name="_Toc2663"/>
      <w:r>
        <w:rPr>
          <w:rFonts w:hint="eastAsia" w:ascii="黑体" w:hAnsi="黑体" w:eastAsia="黑体" w:cs="黑体"/>
          <w:b w:val="0"/>
          <w:bCs/>
          <w:color w:val="000000"/>
          <w:sz w:val="28"/>
          <w:szCs w:val="28"/>
        </w:rPr>
        <w:t>采购文件的获取</w:t>
      </w:r>
      <w:bookmarkEnd w:id="34"/>
      <w:bookmarkEnd w:id="35"/>
    </w:p>
    <w:p w14:paraId="0985821A">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bookmarkStart w:id="36" w:name="_Hlk171339029"/>
      <w:r>
        <w:rPr>
          <w:rFonts w:hint="eastAsia" w:ascii="仿宋" w:hAnsi="仿宋" w:eastAsia="仿宋" w:cs="仿宋"/>
          <w:b w:val="0"/>
          <w:bCs/>
          <w:color w:val="000000"/>
          <w:sz w:val="28"/>
          <w:szCs w:val="28"/>
          <w:lang w:val="en-US" w:eastAsia="zh-CN"/>
        </w:rPr>
        <w:t>凡有意参加供应商，请于2025年3月31日至2025年4月10日10时00分(北京时间，下同)，登录“界首市城乡建设发展集团有限公司官网”（网址：http://jscxjs.cn/）下载电子采购文件。</w:t>
      </w:r>
    </w:p>
    <w:p w14:paraId="5F0E8F62">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b w:val="0"/>
          <w:bCs/>
          <w:color w:val="000000"/>
          <w:sz w:val="28"/>
          <w:szCs w:val="28"/>
          <w:lang w:val="en-US" w:eastAsia="zh-CN"/>
        </w:rPr>
        <w:t>采购文件费用：不收取。</w:t>
      </w:r>
      <w:bookmarkEnd w:id="36"/>
    </w:p>
    <w:p w14:paraId="1AE0DF15">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425" w:leftChars="0" w:hanging="425" w:firstLineChars="0"/>
        <w:textAlignment w:val="auto"/>
        <w:rPr>
          <w:rFonts w:hint="eastAsia" w:ascii="黑体" w:hAnsi="黑体" w:eastAsia="黑体" w:cs="黑体"/>
          <w:b w:val="0"/>
          <w:bCs/>
          <w:color w:val="000000"/>
          <w:sz w:val="28"/>
          <w:szCs w:val="28"/>
        </w:rPr>
      </w:pPr>
      <w:bookmarkStart w:id="37" w:name="_Toc15396"/>
      <w:bookmarkStart w:id="38" w:name="_Toc501460636"/>
      <w:r>
        <w:rPr>
          <w:rFonts w:hint="eastAsia" w:ascii="黑体" w:hAnsi="黑体" w:eastAsia="黑体" w:cs="黑体"/>
          <w:b w:val="0"/>
          <w:bCs/>
          <w:color w:val="000000"/>
          <w:sz w:val="28"/>
          <w:szCs w:val="28"/>
        </w:rPr>
        <w:t>响应文件的递交</w:t>
      </w:r>
      <w:bookmarkEnd w:id="37"/>
      <w:bookmarkEnd w:id="38"/>
    </w:p>
    <w:p w14:paraId="2F455325">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响应文件递交截止时间：2025年4月10日10时00分。</w:t>
      </w:r>
    </w:p>
    <w:p w14:paraId="586DCC3E">
      <w:pPr>
        <w:pStyle w:val="3"/>
        <w:keepNext/>
        <w:keepLines/>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b w:val="0"/>
          <w:bCs/>
          <w:color w:val="000000"/>
          <w:sz w:val="28"/>
          <w:szCs w:val="28"/>
          <w:lang w:val="en-US" w:eastAsia="zh-CN"/>
        </w:rPr>
        <w:t>响应文件递交地点：界首市复兴西路复兴佳苑东大门南侧临街楼117户4楼会议室。</w:t>
      </w:r>
    </w:p>
    <w:p w14:paraId="115AECB3">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425" w:leftChars="0" w:hanging="425" w:firstLineChars="0"/>
        <w:textAlignment w:val="auto"/>
        <w:rPr>
          <w:rFonts w:hint="eastAsia" w:ascii="黑体" w:hAnsi="黑体" w:eastAsia="黑体" w:cs="黑体"/>
          <w:b w:val="0"/>
          <w:bCs/>
          <w:color w:val="000000"/>
          <w:sz w:val="28"/>
          <w:szCs w:val="28"/>
        </w:rPr>
      </w:pPr>
      <w:bookmarkStart w:id="39" w:name="_Toc31970"/>
      <w:bookmarkStart w:id="40" w:name="_Toc501460637"/>
      <w:r>
        <w:rPr>
          <w:rFonts w:hint="eastAsia" w:ascii="黑体" w:hAnsi="黑体" w:eastAsia="黑体" w:cs="黑体"/>
          <w:b w:val="0"/>
          <w:bCs/>
          <w:color w:val="000000"/>
          <w:sz w:val="28"/>
          <w:szCs w:val="28"/>
        </w:rPr>
        <w:t>响应文件开启时间和地点</w:t>
      </w:r>
      <w:bookmarkEnd w:id="39"/>
    </w:p>
    <w:p w14:paraId="79D1CA63">
      <w:pPr>
        <w:pageBreakBefore w:val="0"/>
        <w:widowControl w:val="0"/>
        <w:kinsoku/>
        <w:wordWrap/>
        <w:overflowPunct/>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bookmarkEnd w:id="40"/>
    <w:p w14:paraId="7BE2690B">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425" w:leftChars="0" w:hanging="425" w:firstLineChars="0"/>
        <w:textAlignment w:val="auto"/>
        <w:rPr>
          <w:rFonts w:hint="eastAsia" w:ascii="黑体" w:hAnsi="黑体" w:eastAsia="黑体" w:cs="黑体"/>
          <w:b w:val="0"/>
          <w:bCs/>
          <w:color w:val="000000"/>
          <w:sz w:val="28"/>
          <w:szCs w:val="28"/>
        </w:rPr>
      </w:pPr>
      <w:bookmarkStart w:id="41" w:name="_Toc21060"/>
      <w:bookmarkStart w:id="42" w:name="_Toc13477"/>
      <w:bookmarkStart w:id="43" w:name="_Toc501460638"/>
      <w:r>
        <w:rPr>
          <w:rFonts w:hint="eastAsia" w:ascii="黑体" w:hAnsi="黑体" w:eastAsia="黑体" w:cs="黑体"/>
          <w:b w:val="0"/>
          <w:bCs/>
          <w:color w:val="000000"/>
          <w:sz w:val="28"/>
          <w:szCs w:val="28"/>
        </w:rPr>
        <w:t>发布公告的媒介</w:t>
      </w:r>
      <w:bookmarkEnd w:id="41"/>
      <w:bookmarkEnd w:id="42"/>
    </w:p>
    <w:p w14:paraId="6DBD41A2">
      <w:pPr>
        <w:pageBreakBefore w:val="0"/>
        <w:widowControl w:val="0"/>
        <w:kinsoku/>
        <w:wordWrap/>
        <w:overflowPunct/>
        <w:autoSpaceDE/>
        <w:autoSpaceDN/>
        <w:bidi w:val="0"/>
        <w:adjustRightInd/>
        <w:snapToGrid/>
        <w:spacing w:line="560" w:lineRule="exact"/>
        <w:ind w:firstLine="560" w:firstLineChars="200"/>
        <w:jc w:val="left"/>
        <w:textAlignment w:val="auto"/>
        <w:rPr>
          <w:rFonts w:hint="eastAsia" w:ascii="仿宋" w:hAnsi="仿宋" w:eastAsia="仿宋" w:cs="仿宋"/>
          <w:iCs/>
          <w:color w:val="000000"/>
          <w:sz w:val="28"/>
          <w:szCs w:val="28"/>
          <w:lang w:val="en-US" w:eastAsia="zh-CN"/>
        </w:rPr>
      </w:pPr>
      <w:r>
        <w:rPr>
          <w:rFonts w:hint="eastAsia" w:ascii="仿宋" w:hAnsi="仿宋" w:eastAsia="仿宋" w:cs="仿宋"/>
          <w:color w:val="000000"/>
          <w:sz w:val="28"/>
          <w:szCs w:val="28"/>
          <w:lang w:val="en-US" w:eastAsia="zh-CN"/>
        </w:rPr>
        <w:t>本询比采购公告在“界首市城乡建设发展集团有限公司官网”（网址：http://jscxjs.cn/）上发布。</w:t>
      </w:r>
    </w:p>
    <w:p w14:paraId="611822D4">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425" w:leftChars="0" w:hanging="425" w:firstLineChars="0"/>
        <w:textAlignment w:val="auto"/>
        <w:rPr>
          <w:rFonts w:hint="eastAsia" w:ascii="黑体" w:hAnsi="黑体" w:eastAsia="黑体" w:cs="黑体"/>
          <w:b w:val="0"/>
          <w:bCs/>
          <w:color w:val="000000"/>
          <w:sz w:val="28"/>
          <w:szCs w:val="28"/>
        </w:rPr>
      </w:pPr>
      <w:bookmarkStart w:id="44" w:name="_Toc7538"/>
      <w:r>
        <w:rPr>
          <w:rFonts w:hint="eastAsia" w:ascii="黑体" w:hAnsi="黑体" w:eastAsia="黑体" w:cs="黑体"/>
          <w:b w:val="0"/>
          <w:bCs/>
          <w:color w:val="000000"/>
          <w:sz w:val="28"/>
          <w:szCs w:val="28"/>
        </w:rPr>
        <w:t>联系方式</w:t>
      </w:r>
      <w:bookmarkEnd w:id="43"/>
      <w:bookmarkEnd w:id="44"/>
    </w:p>
    <w:bookmarkEnd w:id="3"/>
    <w:bookmarkEnd w:id="4"/>
    <w:bookmarkEnd w:id="5"/>
    <w:p w14:paraId="67ABFDCC">
      <w:pPr>
        <w:pageBreakBefore w:val="0"/>
        <w:kinsoku/>
        <w:wordWrap/>
        <w:overflowPunct/>
        <w:topLinePunct w:val="0"/>
        <w:bidi w:val="0"/>
        <w:spacing w:line="560" w:lineRule="exact"/>
        <w:ind w:right="0" w:firstLine="560" w:firstLineChars="200"/>
        <w:textAlignment w:val="auto"/>
        <w:rPr>
          <w:rFonts w:hint="eastAsia" w:ascii="仿宋" w:hAnsi="仿宋" w:eastAsia="仿宋" w:cs="仿宋"/>
          <w:sz w:val="28"/>
          <w:szCs w:val="28"/>
          <w:u w:val="none"/>
          <w:lang w:eastAsia="zh-CN"/>
        </w:rPr>
      </w:pPr>
      <w:bookmarkStart w:id="45" w:name="_Toc300834927"/>
      <w:bookmarkEnd w:id="45"/>
      <w:bookmarkStart w:id="46" w:name="_Toc369531498"/>
      <w:bookmarkEnd w:id="46"/>
      <w:bookmarkStart w:id="47" w:name="_Toc10785"/>
      <w:bookmarkEnd w:id="47"/>
      <w:bookmarkStart w:id="48" w:name="_Toc144974481"/>
      <w:bookmarkEnd w:id="48"/>
      <w:bookmarkStart w:id="49" w:name="_Toc152042289"/>
      <w:bookmarkEnd w:id="49"/>
      <w:bookmarkStart w:id="50" w:name="_Toc300834929"/>
      <w:bookmarkEnd w:id="50"/>
      <w:bookmarkStart w:id="51" w:name="_Toc144974480"/>
      <w:bookmarkEnd w:id="51"/>
      <w:bookmarkStart w:id="52" w:name="_Toc247513934"/>
      <w:bookmarkEnd w:id="52"/>
      <w:bookmarkStart w:id="53" w:name="_Toc361508560"/>
      <w:bookmarkEnd w:id="53"/>
      <w:bookmarkStart w:id="54" w:name="_Toc247513935"/>
      <w:bookmarkEnd w:id="54"/>
      <w:bookmarkStart w:id="55" w:name="_Toc152045512"/>
      <w:bookmarkEnd w:id="55"/>
      <w:bookmarkStart w:id="56" w:name="_Toc369531495"/>
      <w:bookmarkEnd w:id="56"/>
      <w:bookmarkStart w:id="57" w:name="_Toc152045513"/>
      <w:bookmarkEnd w:id="57"/>
      <w:bookmarkStart w:id="58" w:name="_Toc384308185"/>
      <w:bookmarkEnd w:id="58"/>
      <w:bookmarkStart w:id="59" w:name="_Toc369531497"/>
      <w:bookmarkEnd w:id="59"/>
      <w:bookmarkStart w:id="60" w:name="_Toc352691456"/>
      <w:bookmarkEnd w:id="60"/>
      <w:bookmarkStart w:id="61" w:name="_Toc30817"/>
      <w:bookmarkEnd w:id="61"/>
      <w:bookmarkStart w:id="62" w:name="_Toc152042288"/>
      <w:bookmarkEnd w:id="62"/>
      <w:bookmarkStart w:id="63" w:name="_Toc361508563"/>
      <w:bookmarkEnd w:id="63"/>
      <w:bookmarkStart w:id="64" w:name="_Toc247527535"/>
      <w:bookmarkEnd w:id="64"/>
      <w:bookmarkStart w:id="65" w:name="_Toc361508562"/>
      <w:bookmarkEnd w:id="65"/>
      <w:bookmarkStart w:id="66" w:name="_Toc300834930"/>
      <w:bookmarkEnd w:id="66"/>
      <w:bookmarkStart w:id="67" w:name="_Toc352691455"/>
      <w:bookmarkEnd w:id="67"/>
      <w:bookmarkStart w:id="68" w:name="_Toc384308188"/>
      <w:bookmarkEnd w:id="68"/>
      <w:bookmarkStart w:id="69" w:name="_Toc384308187"/>
      <w:bookmarkEnd w:id="69"/>
      <w:bookmarkStart w:id="70" w:name="_Toc247527536"/>
      <w:bookmarkEnd w:id="70"/>
      <w:bookmarkStart w:id="71" w:name="_Toc352691453"/>
      <w:bookmarkEnd w:id="71"/>
      <w:bookmarkStart w:id="72" w:name="_Toc17972"/>
      <w:bookmarkEnd w:id="72"/>
      <w:r>
        <w:rPr>
          <w:rFonts w:hint="eastAsia" w:ascii="仿宋" w:hAnsi="仿宋" w:eastAsia="仿宋" w:cs="仿宋"/>
          <w:sz w:val="28"/>
          <w:szCs w:val="28"/>
          <w:u w:val="none"/>
        </w:rPr>
        <w:t>采购人：</w:t>
      </w:r>
      <w:r>
        <w:rPr>
          <w:rFonts w:hint="eastAsia" w:ascii="仿宋" w:hAnsi="仿宋" w:eastAsia="仿宋" w:cs="仿宋"/>
          <w:sz w:val="28"/>
          <w:szCs w:val="28"/>
          <w:u w:val="none"/>
          <w:lang w:eastAsia="zh-CN"/>
        </w:rPr>
        <w:t>界首市恒居建设发展有限公司</w:t>
      </w:r>
    </w:p>
    <w:p w14:paraId="61F4FBBD">
      <w:pPr>
        <w:pageBreakBefore w:val="0"/>
        <w:widowControl/>
        <w:shd w:val="clear" w:color="auto" w:fill="FFFFFF"/>
        <w:kinsoku/>
        <w:wordWrap/>
        <w:overflowPunct/>
        <w:topLinePunct w:val="0"/>
        <w:bidi w:val="0"/>
        <w:spacing w:line="560" w:lineRule="exact"/>
        <w:ind w:righ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地址：</w:t>
      </w:r>
      <w:r>
        <w:rPr>
          <w:rFonts w:hint="eastAsia" w:ascii="仿宋" w:hAnsi="仿宋" w:eastAsia="仿宋" w:cs="仿宋"/>
          <w:b w:val="0"/>
          <w:bCs w:val="0"/>
          <w:sz w:val="28"/>
          <w:szCs w:val="28"/>
          <w:u w:val="none"/>
        </w:rPr>
        <w:t>界首市复兴西路复兴佳苑东大门南侧临街楼117户</w:t>
      </w:r>
    </w:p>
    <w:p w14:paraId="48D16181">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left"/>
        <w:textAlignment w:val="auto"/>
        <w:rPr>
          <w:rFonts w:hint="eastAsia" w:ascii="仿宋" w:hAnsi="仿宋" w:eastAsia="仿宋" w:cs="仿宋"/>
          <w:sz w:val="28"/>
          <w:szCs w:val="28"/>
          <w:u w:val="none"/>
        </w:rPr>
      </w:pPr>
      <w:r>
        <w:rPr>
          <w:rFonts w:hint="eastAsia" w:ascii="仿宋" w:hAnsi="仿宋" w:eastAsia="仿宋" w:cs="仿宋"/>
          <w:sz w:val="28"/>
          <w:szCs w:val="28"/>
          <w:u w:val="none"/>
        </w:rPr>
        <w:t>联系人：张先生</w:t>
      </w:r>
    </w:p>
    <w:p w14:paraId="3395C95D">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left"/>
        <w:textAlignment w:val="auto"/>
        <w:rPr>
          <w:rFonts w:hint="eastAsia" w:ascii="仿宋" w:hAnsi="仿宋" w:eastAsia="仿宋" w:cs="仿宋"/>
          <w:sz w:val="28"/>
          <w:szCs w:val="28"/>
          <w:u w:val="none"/>
        </w:rPr>
      </w:pPr>
      <w:r>
        <w:rPr>
          <w:rFonts w:hint="eastAsia" w:ascii="仿宋" w:hAnsi="仿宋" w:eastAsia="仿宋" w:cs="仿宋"/>
          <w:sz w:val="28"/>
          <w:szCs w:val="28"/>
          <w:u w:val="none"/>
        </w:rPr>
        <w:t>电话：0558-7076007</w:t>
      </w:r>
    </w:p>
    <w:p w14:paraId="26728BD1">
      <w:pPr>
        <w:pageBreakBefore w:val="0"/>
        <w:tabs>
          <w:tab w:val="left" w:pos="2400"/>
          <w:tab w:val="left" w:pos="3460"/>
          <w:tab w:val="left" w:pos="6660"/>
          <w:tab w:val="left" w:pos="8789"/>
        </w:tabs>
        <w:kinsoku/>
        <w:wordWrap/>
        <w:overflowPunct/>
        <w:topLinePunct w:val="0"/>
        <w:autoSpaceDE w:val="0"/>
        <w:autoSpaceDN w:val="0"/>
        <w:bidi w:val="0"/>
        <w:adjustRightInd w:val="0"/>
        <w:spacing w:line="560" w:lineRule="exact"/>
        <w:ind w:right="0" w:firstLine="560" w:firstLineChars="200"/>
        <w:jc w:val="left"/>
        <w:textAlignment w:val="auto"/>
        <w:rPr>
          <w:rFonts w:hint="eastAsia" w:ascii="仿宋" w:hAnsi="仿宋" w:eastAsia="仿宋" w:cs="仿宋"/>
          <w:bCs/>
          <w:kern w:val="0"/>
          <w:sz w:val="28"/>
          <w:szCs w:val="28"/>
          <w:u w:val="none"/>
        </w:rPr>
      </w:pPr>
      <w:r>
        <w:rPr>
          <w:rFonts w:hint="eastAsia" w:ascii="仿宋" w:hAnsi="仿宋" w:eastAsia="仿宋" w:cs="仿宋"/>
          <w:bCs/>
          <w:kern w:val="0"/>
          <w:sz w:val="28"/>
          <w:szCs w:val="28"/>
          <w:u w:val="none"/>
        </w:rPr>
        <w:t>采购代理机构：安徽省招标集团股份有限公司</w:t>
      </w:r>
    </w:p>
    <w:p w14:paraId="4F0305CA">
      <w:pPr>
        <w:pageBreakBefore w:val="0"/>
        <w:tabs>
          <w:tab w:val="left" w:pos="2400"/>
          <w:tab w:val="left" w:pos="3460"/>
          <w:tab w:val="left" w:pos="6660"/>
          <w:tab w:val="left" w:pos="8789"/>
        </w:tabs>
        <w:kinsoku/>
        <w:wordWrap/>
        <w:overflowPunct/>
        <w:topLinePunct w:val="0"/>
        <w:autoSpaceDE w:val="0"/>
        <w:autoSpaceDN w:val="0"/>
        <w:bidi w:val="0"/>
        <w:adjustRightInd w:val="0"/>
        <w:spacing w:line="560" w:lineRule="exact"/>
        <w:ind w:right="0" w:firstLine="560" w:firstLineChars="200"/>
        <w:jc w:val="left"/>
        <w:textAlignment w:val="auto"/>
        <w:rPr>
          <w:rFonts w:hint="eastAsia" w:ascii="仿宋" w:hAnsi="仿宋" w:eastAsia="仿宋" w:cs="仿宋"/>
          <w:bCs/>
          <w:kern w:val="0"/>
          <w:sz w:val="28"/>
          <w:szCs w:val="28"/>
          <w:u w:val="none"/>
        </w:rPr>
      </w:pPr>
      <w:r>
        <w:rPr>
          <w:rFonts w:hint="eastAsia" w:ascii="仿宋" w:hAnsi="仿宋" w:eastAsia="仿宋" w:cs="仿宋"/>
          <w:bCs/>
          <w:kern w:val="0"/>
          <w:sz w:val="28"/>
          <w:szCs w:val="28"/>
          <w:u w:val="none"/>
        </w:rPr>
        <w:t>地址：安徽省合肥市包河区包河大道236号</w:t>
      </w:r>
    </w:p>
    <w:p w14:paraId="4E88A93B">
      <w:pPr>
        <w:pageBreakBefore w:val="0"/>
        <w:tabs>
          <w:tab w:val="left" w:pos="2400"/>
          <w:tab w:val="left" w:pos="3460"/>
          <w:tab w:val="left" w:pos="6660"/>
          <w:tab w:val="left" w:pos="8789"/>
        </w:tabs>
        <w:kinsoku/>
        <w:wordWrap/>
        <w:overflowPunct/>
        <w:topLinePunct w:val="0"/>
        <w:autoSpaceDE w:val="0"/>
        <w:autoSpaceDN w:val="0"/>
        <w:bidi w:val="0"/>
        <w:adjustRightInd w:val="0"/>
        <w:spacing w:line="560" w:lineRule="exact"/>
        <w:ind w:right="0" w:firstLine="560" w:firstLineChars="200"/>
        <w:jc w:val="left"/>
        <w:textAlignment w:val="auto"/>
        <w:rPr>
          <w:rFonts w:hint="eastAsia" w:ascii="仿宋" w:hAnsi="仿宋" w:eastAsia="仿宋" w:cs="仿宋"/>
          <w:bCs/>
          <w:kern w:val="0"/>
          <w:sz w:val="28"/>
          <w:szCs w:val="28"/>
          <w:u w:val="none"/>
          <w:lang w:eastAsia="zh-CN"/>
        </w:rPr>
      </w:pPr>
      <w:r>
        <w:rPr>
          <w:rFonts w:hint="eastAsia" w:ascii="仿宋" w:hAnsi="仿宋" w:eastAsia="仿宋" w:cs="仿宋"/>
          <w:bCs/>
          <w:kern w:val="0"/>
          <w:sz w:val="28"/>
          <w:szCs w:val="28"/>
          <w:u w:val="none"/>
        </w:rPr>
        <w:t>联系人：潘</w:t>
      </w:r>
      <w:r>
        <w:rPr>
          <w:rFonts w:hint="eastAsia" w:ascii="仿宋" w:hAnsi="仿宋" w:eastAsia="仿宋" w:cs="仿宋"/>
          <w:bCs/>
          <w:kern w:val="0"/>
          <w:sz w:val="28"/>
          <w:szCs w:val="28"/>
          <w:u w:val="none"/>
          <w:lang w:val="en-US" w:eastAsia="zh-CN"/>
        </w:rPr>
        <w:t>工</w:t>
      </w:r>
    </w:p>
    <w:p w14:paraId="68BD2EDD">
      <w:pPr>
        <w:pageBreakBefore w:val="0"/>
        <w:tabs>
          <w:tab w:val="left" w:pos="2400"/>
          <w:tab w:val="left" w:pos="3460"/>
          <w:tab w:val="left" w:pos="6660"/>
          <w:tab w:val="left" w:pos="8789"/>
        </w:tabs>
        <w:kinsoku/>
        <w:wordWrap/>
        <w:overflowPunct/>
        <w:topLinePunct w:val="0"/>
        <w:autoSpaceDE w:val="0"/>
        <w:autoSpaceDN w:val="0"/>
        <w:bidi w:val="0"/>
        <w:adjustRightInd w:val="0"/>
        <w:spacing w:line="560" w:lineRule="exact"/>
        <w:ind w:right="0"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bCs/>
          <w:kern w:val="0"/>
          <w:sz w:val="28"/>
          <w:szCs w:val="28"/>
          <w:u w:val="none"/>
        </w:rPr>
        <w:t>电话：1865607905</w:t>
      </w:r>
    </w:p>
    <w:p w14:paraId="096B4D76">
      <w:pPr>
        <w:pageBreakBefore w:val="0"/>
        <w:widowControl w:val="0"/>
        <w:kinsoku/>
        <w:wordWrap/>
        <w:overflowPunct/>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u w:val="none"/>
          <w:lang w:val="en-US" w:eastAsia="zh-CN"/>
        </w:rPr>
        <w:t>2025</w:t>
      </w:r>
      <w:r>
        <w:rPr>
          <w:rFonts w:hint="eastAsia" w:ascii="仿宋" w:hAnsi="仿宋" w:eastAsia="仿宋" w:cs="仿宋"/>
          <w:color w:val="000000"/>
          <w:sz w:val="28"/>
          <w:szCs w:val="28"/>
          <w:u w:val="none"/>
        </w:rPr>
        <w:t>年</w:t>
      </w:r>
      <w:r>
        <w:rPr>
          <w:rFonts w:hint="eastAsia" w:ascii="仿宋" w:hAnsi="仿宋" w:eastAsia="仿宋" w:cs="仿宋"/>
          <w:color w:val="000000"/>
          <w:sz w:val="28"/>
          <w:szCs w:val="28"/>
          <w:u w:val="none"/>
          <w:lang w:val="en-US" w:eastAsia="zh-CN"/>
        </w:rPr>
        <w:t>3</w:t>
      </w:r>
      <w:r>
        <w:rPr>
          <w:rFonts w:hint="eastAsia" w:ascii="仿宋" w:hAnsi="仿宋" w:eastAsia="仿宋" w:cs="仿宋"/>
          <w:color w:val="000000"/>
          <w:sz w:val="28"/>
          <w:szCs w:val="28"/>
          <w:u w:val="none"/>
        </w:rPr>
        <w:t>月</w:t>
      </w:r>
      <w:r>
        <w:rPr>
          <w:rFonts w:hint="eastAsia" w:ascii="仿宋" w:hAnsi="仿宋" w:eastAsia="仿宋" w:cs="仿宋"/>
          <w:color w:val="000000"/>
          <w:sz w:val="28"/>
          <w:szCs w:val="28"/>
          <w:u w:val="none"/>
          <w:lang w:val="en-US" w:eastAsia="zh-CN"/>
        </w:rPr>
        <w:t>31</w:t>
      </w:r>
      <w:r>
        <w:rPr>
          <w:rFonts w:hint="eastAsia" w:ascii="仿宋" w:hAnsi="仿宋" w:eastAsia="仿宋" w:cs="仿宋"/>
          <w:color w:val="000000"/>
          <w:sz w:val="28"/>
          <w:szCs w:val="28"/>
          <w:u w:val="none"/>
        </w:rPr>
        <w:t>日</w:t>
      </w:r>
    </w:p>
    <w:p w14:paraId="244D3240">
      <w:pPr>
        <w:pageBreakBefore w:val="0"/>
        <w:widowControl w:val="0"/>
        <w:kinsoku/>
        <w:wordWrap/>
        <w:overflowPunct/>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6012F1C4">
      <w:pPr>
        <w:widowControl/>
        <w:spacing w:line="360" w:lineRule="auto"/>
        <w:jc w:val="center"/>
        <w:rPr>
          <w:rFonts w:cs="黑体" w:asciiTheme="majorEastAsia" w:hAnsiTheme="majorEastAsia" w:eastAsiaTheme="majorEastAsia"/>
          <w:b/>
          <w:sz w:val="44"/>
          <w:szCs w:val="44"/>
        </w:rPr>
      </w:pPr>
      <w:bookmarkStart w:id="73" w:name="_Toc501460639"/>
    </w:p>
    <w:bookmarkEnd w:id="73"/>
    <w:p w14:paraId="2B0E7D86">
      <w:pPr>
        <w:widowControl/>
        <w:spacing w:line="360" w:lineRule="auto"/>
        <w:jc w:val="center"/>
        <w:rPr>
          <w:color w:val="000000"/>
        </w:rPr>
      </w:pPr>
      <w:bookmarkStart w:id="74" w:name="_Toc352691469"/>
      <w:bookmarkEnd w:id="74"/>
      <w:bookmarkStart w:id="75" w:name="_Toc361508578"/>
      <w:bookmarkEnd w:id="75"/>
      <w:bookmarkStart w:id="76" w:name="_Toc300834941"/>
      <w:bookmarkEnd w:id="76"/>
      <w:bookmarkStart w:id="77" w:name="_Toc384308205"/>
      <w:bookmarkEnd w:id="77"/>
      <w:bookmarkStart w:id="78" w:name="_Toc384308203"/>
      <w:bookmarkEnd w:id="78"/>
      <w:bookmarkStart w:id="79" w:name="_Toc152042301"/>
      <w:bookmarkEnd w:id="79"/>
      <w:bookmarkStart w:id="80" w:name="_Toc152042299"/>
      <w:bookmarkEnd w:id="80"/>
      <w:bookmarkStart w:id="81" w:name="_Toc369531509"/>
      <w:bookmarkEnd w:id="81"/>
      <w:bookmarkStart w:id="82" w:name="_Toc144974493"/>
      <w:bookmarkEnd w:id="82"/>
      <w:bookmarkStart w:id="83" w:name="_Toc300834943"/>
      <w:bookmarkEnd w:id="83"/>
      <w:bookmarkStart w:id="84" w:name="_Toc361508580"/>
      <w:bookmarkEnd w:id="84"/>
      <w:bookmarkStart w:id="85" w:name="_Toc247513948"/>
      <w:bookmarkEnd w:id="85"/>
      <w:bookmarkStart w:id="86" w:name="_Toc369531511"/>
      <w:bookmarkEnd w:id="86"/>
      <w:bookmarkStart w:id="87" w:name="_Toc19794"/>
      <w:bookmarkEnd w:id="87"/>
      <w:bookmarkStart w:id="88" w:name="_Toc152045523"/>
      <w:bookmarkEnd w:id="88"/>
      <w:bookmarkStart w:id="89" w:name="_Toc352691467"/>
      <w:bookmarkEnd w:id="89"/>
      <w:bookmarkStart w:id="90" w:name="_Toc14865"/>
      <w:bookmarkEnd w:id="90"/>
      <w:bookmarkStart w:id="91" w:name="_Toc247513946"/>
      <w:bookmarkEnd w:id="91"/>
      <w:bookmarkStart w:id="92" w:name="_Toc247527547"/>
      <w:bookmarkEnd w:id="92"/>
      <w:bookmarkStart w:id="93" w:name="_Toc144974491"/>
      <w:bookmarkEnd w:id="93"/>
      <w:bookmarkStart w:id="94" w:name="_Toc247527549"/>
      <w:bookmarkEnd w:id="94"/>
      <w:bookmarkStart w:id="95" w:name="_Toc152045525"/>
      <w:bookmarkEnd w:id="95"/>
      <w:bookmarkStart w:id="96" w:name="_Toc501460648"/>
    </w:p>
    <w:p w14:paraId="5FAA48BA">
      <w:pPr>
        <w:widowControl/>
        <w:spacing w:line="360" w:lineRule="auto"/>
        <w:jc w:val="center"/>
        <w:rPr>
          <w:rFonts w:cs="黑体" w:asciiTheme="majorEastAsia" w:hAnsiTheme="majorEastAsia" w:eastAsiaTheme="majorEastAsia"/>
          <w:b/>
          <w:sz w:val="44"/>
          <w:szCs w:val="44"/>
        </w:rPr>
      </w:pPr>
    </w:p>
    <w:p w14:paraId="2D34CD4D">
      <w:pPr>
        <w:widowControl/>
        <w:spacing w:line="360" w:lineRule="auto"/>
        <w:jc w:val="center"/>
        <w:rPr>
          <w:rFonts w:cs="黑体" w:asciiTheme="majorEastAsia" w:hAnsiTheme="majorEastAsia" w:eastAsiaTheme="majorEastAsia"/>
          <w:b/>
          <w:sz w:val="44"/>
          <w:szCs w:val="44"/>
        </w:rPr>
      </w:pPr>
    </w:p>
    <w:p w14:paraId="6DED5C86">
      <w:pPr>
        <w:widowControl/>
        <w:spacing w:line="360" w:lineRule="auto"/>
        <w:jc w:val="center"/>
        <w:rPr>
          <w:rFonts w:cs="黑体" w:asciiTheme="majorEastAsia" w:hAnsiTheme="majorEastAsia" w:eastAsiaTheme="majorEastAsia"/>
          <w:b/>
          <w:sz w:val="44"/>
          <w:szCs w:val="44"/>
        </w:rPr>
      </w:pPr>
    </w:p>
    <w:p w14:paraId="588CB699">
      <w:pPr>
        <w:widowControl/>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第二章  供应商须知</w:t>
      </w:r>
    </w:p>
    <w:p w14:paraId="6D23F330">
      <w:pPr>
        <w:widowControl/>
        <w:jc w:val="left"/>
        <w:rPr>
          <w:rFonts w:ascii="Times New Roman" w:hAnsi="Times New Roman"/>
          <w:b/>
          <w:color w:val="000000"/>
          <w:kern w:val="44"/>
          <w:sz w:val="44"/>
          <w:szCs w:val="20"/>
        </w:rPr>
      </w:pPr>
      <w:r>
        <w:rPr>
          <w:color w:val="000000"/>
        </w:rPr>
        <w:br w:type="page"/>
      </w:r>
    </w:p>
    <w:p w14:paraId="68D9BA13">
      <w:pPr>
        <w:pStyle w:val="2"/>
        <w:spacing w:line="240" w:lineRule="auto"/>
        <w:jc w:val="center"/>
        <w:rPr>
          <w:rFonts w:hint="eastAsia" w:ascii="仿宋" w:hAnsi="仿宋" w:eastAsia="仿宋" w:cs="仿宋"/>
          <w:color w:val="000000"/>
        </w:rPr>
      </w:pPr>
      <w:bookmarkStart w:id="97" w:name="_Toc14930"/>
      <w:bookmarkStart w:id="98" w:name="_Toc24817"/>
      <w:bookmarkStart w:id="99" w:name="_Toc23569"/>
      <w:r>
        <w:rPr>
          <w:rFonts w:hint="eastAsia" w:ascii="仿宋" w:hAnsi="仿宋" w:eastAsia="仿宋" w:cs="仿宋"/>
          <w:color w:val="000000"/>
        </w:rPr>
        <w:t>第二章  供应商须知</w:t>
      </w:r>
      <w:bookmarkEnd w:id="96"/>
      <w:bookmarkEnd w:id="97"/>
      <w:bookmarkEnd w:id="98"/>
      <w:bookmarkEnd w:id="99"/>
    </w:p>
    <w:p w14:paraId="5CC431AC">
      <w:pPr>
        <w:pStyle w:val="3"/>
        <w:spacing w:line="240" w:lineRule="auto"/>
        <w:jc w:val="center"/>
        <w:rPr>
          <w:rFonts w:hint="eastAsia" w:ascii="仿宋" w:hAnsi="仿宋" w:eastAsia="仿宋" w:cs="仿宋"/>
        </w:rPr>
      </w:pPr>
      <w:bookmarkStart w:id="100" w:name="_Toc152045528"/>
      <w:bookmarkStart w:id="101" w:name="_Toc296602419"/>
      <w:bookmarkStart w:id="102" w:name="_Toc152042304"/>
      <w:bookmarkStart w:id="103" w:name="_Toc246996917"/>
      <w:bookmarkStart w:id="104" w:name="_Toc144974496"/>
      <w:bookmarkStart w:id="105" w:name="_Toc247085688"/>
      <w:bookmarkStart w:id="106" w:name="_Toc179632545"/>
      <w:bookmarkStart w:id="107" w:name="_Toc13263"/>
      <w:bookmarkStart w:id="108" w:name="_Toc246996174"/>
      <w:r>
        <w:rPr>
          <w:rFonts w:hint="eastAsia" w:ascii="仿宋" w:hAnsi="仿宋" w:eastAsia="仿宋" w:cs="仿宋"/>
        </w:rPr>
        <w:t>供应商须知前附表</w:t>
      </w:r>
      <w:bookmarkEnd w:id="100"/>
      <w:bookmarkEnd w:id="101"/>
      <w:bookmarkEnd w:id="102"/>
      <w:bookmarkEnd w:id="103"/>
      <w:bookmarkEnd w:id="104"/>
      <w:bookmarkEnd w:id="105"/>
      <w:bookmarkEnd w:id="106"/>
      <w:bookmarkEnd w:id="107"/>
      <w:bookmarkEnd w:id="108"/>
    </w:p>
    <w:tbl>
      <w:tblPr>
        <w:tblStyle w:val="31"/>
        <w:tblW w:w="8755" w:type="dxa"/>
        <w:tblInd w:w="0" w:type="dxa"/>
        <w:tblLayout w:type="fixed"/>
        <w:tblCellMar>
          <w:top w:w="0" w:type="dxa"/>
          <w:left w:w="108" w:type="dxa"/>
          <w:bottom w:w="0" w:type="dxa"/>
          <w:right w:w="108" w:type="dxa"/>
        </w:tblCellMar>
      </w:tblPr>
      <w:tblGrid>
        <w:gridCol w:w="1008"/>
        <w:gridCol w:w="3211"/>
        <w:gridCol w:w="4536"/>
      </w:tblGrid>
      <w:tr w14:paraId="0E5662B3">
        <w:tblPrEx>
          <w:tblCellMar>
            <w:top w:w="0" w:type="dxa"/>
            <w:left w:w="108" w:type="dxa"/>
            <w:bottom w:w="0" w:type="dxa"/>
            <w:right w:w="108" w:type="dxa"/>
          </w:tblCellMar>
        </w:tblPrEx>
        <w:trPr>
          <w:trHeight w:val="567" w:hRule="atLeast"/>
          <w:tblHeader/>
        </w:trPr>
        <w:tc>
          <w:tcPr>
            <w:tcW w:w="1008" w:type="dxa"/>
            <w:tcBorders>
              <w:top w:val="single" w:color="auto" w:sz="4" w:space="0"/>
              <w:left w:val="single" w:color="auto" w:sz="4" w:space="0"/>
              <w:bottom w:val="single" w:color="auto" w:sz="4" w:space="0"/>
              <w:right w:val="single" w:color="auto" w:sz="4" w:space="0"/>
            </w:tcBorders>
            <w:vAlign w:val="center"/>
          </w:tcPr>
          <w:p w14:paraId="6C269EED">
            <w:pPr>
              <w:snapToGrid w:val="0"/>
              <w:jc w:val="center"/>
              <w:rPr>
                <w:rFonts w:hint="eastAsia" w:ascii="仿宋" w:hAnsi="仿宋" w:eastAsia="仿宋" w:cs="仿宋"/>
                <w:b/>
                <w:sz w:val="24"/>
                <w:szCs w:val="24"/>
              </w:rPr>
            </w:pPr>
            <w:r>
              <w:rPr>
                <w:rFonts w:hint="eastAsia" w:ascii="仿宋" w:hAnsi="仿宋" w:eastAsia="仿宋" w:cs="仿宋"/>
                <w:b/>
                <w:sz w:val="24"/>
                <w:szCs w:val="24"/>
              </w:rPr>
              <w:t>条款号</w:t>
            </w:r>
          </w:p>
        </w:tc>
        <w:tc>
          <w:tcPr>
            <w:tcW w:w="3211" w:type="dxa"/>
            <w:tcBorders>
              <w:top w:val="single" w:color="auto" w:sz="4" w:space="0"/>
              <w:left w:val="single" w:color="auto" w:sz="4" w:space="0"/>
              <w:bottom w:val="single" w:color="auto" w:sz="4" w:space="0"/>
              <w:right w:val="single" w:color="auto" w:sz="4" w:space="0"/>
            </w:tcBorders>
            <w:vAlign w:val="center"/>
          </w:tcPr>
          <w:p w14:paraId="2614751C">
            <w:pPr>
              <w:snapToGrid w:val="0"/>
              <w:jc w:val="center"/>
              <w:rPr>
                <w:rFonts w:hint="eastAsia" w:ascii="仿宋" w:hAnsi="仿宋" w:eastAsia="仿宋" w:cs="仿宋"/>
                <w:b/>
                <w:sz w:val="24"/>
                <w:szCs w:val="24"/>
              </w:rPr>
            </w:pPr>
            <w:r>
              <w:rPr>
                <w:rFonts w:hint="eastAsia" w:ascii="仿宋" w:hAnsi="仿宋" w:eastAsia="仿宋" w:cs="仿宋"/>
                <w:b/>
                <w:sz w:val="24"/>
                <w:szCs w:val="24"/>
              </w:rPr>
              <w:t>条  款  名  称</w:t>
            </w:r>
          </w:p>
        </w:tc>
        <w:tc>
          <w:tcPr>
            <w:tcW w:w="4536" w:type="dxa"/>
            <w:tcBorders>
              <w:top w:val="single" w:color="auto" w:sz="4" w:space="0"/>
              <w:left w:val="single" w:color="auto" w:sz="4" w:space="0"/>
              <w:bottom w:val="single" w:color="auto" w:sz="4" w:space="0"/>
              <w:right w:val="single" w:color="auto" w:sz="4" w:space="0"/>
            </w:tcBorders>
            <w:vAlign w:val="center"/>
          </w:tcPr>
          <w:p w14:paraId="64C39E28">
            <w:pPr>
              <w:snapToGrid w:val="0"/>
              <w:jc w:val="center"/>
              <w:rPr>
                <w:rFonts w:hint="eastAsia" w:ascii="仿宋" w:hAnsi="仿宋" w:eastAsia="仿宋" w:cs="仿宋"/>
                <w:b/>
                <w:sz w:val="24"/>
                <w:szCs w:val="24"/>
              </w:rPr>
            </w:pPr>
            <w:r>
              <w:rPr>
                <w:rFonts w:hint="eastAsia" w:ascii="仿宋" w:hAnsi="仿宋" w:eastAsia="仿宋" w:cs="仿宋"/>
                <w:b/>
                <w:sz w:val="24"/>
                <w:szCs w:val="24"/>
              </w:rPr>
              <w:t>编  列  内  容</w:t>
            </w:r>
          </w:p>
        </w:tc>
      </w:tr>
      <w:tr w14:paraId="5911D9CD">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624A023B">
            <w:pPr>
              <w:snapToGrid w:val="0"/>
              <w:jc w:val="center"/>
              <w:rPr>
                <w:rFonts w:hint="eastAsia" w:ascii="仿宋" w:hAnsi="仿宋" w:eastAsia="仿宋" w:cs="仿宋"/>
                <w:sz w:val="24"/>
                <w:szCs w:val="24"/>
              </w:rPr>
            </w:pPr>
            <w:r>
              <w:rPr>
                <w:rFonts w:hint="eastAsia" w:ascii="仿宋" w:hAnsi="仿宋" w:eastAsia="仿宋" w:cs="仿宋"/>
                <w:sz w:val="24"/>
                <w:szCs w:val="24"/>
              </w:rPr>
              <w:t>1.7.1</w:t>
            </w:r>
          </w:p>
        </w:tc>
        <w:tc>
          <w:tcPr>
            <w:tcW w:w="3211" w:type="dxa"/>
            <w:tcBorders>
              <w:top w:val="single" w:color="auto" w:sz="4" w:space="0"/>
              <w:left w:val="single" w:color="auto" w:sz="4" w:space="0"/>
              <w:bottom w:val="single" w:color="auto" w:sz="4" w:space="0"/>
              <w:right w:val="single" w:color="auto" w:sz="4" w:space="0"/>
            </w:tcBorders>
            <w:vAlign w:val="center"/>
          </w:tcPr>
          <w:p w14:paraId="68AAE246">
            <w:pPr>
              <w:snapToGrid w:val="0"/>
              <w:jc w:val="center"/>
              <w:rPr>
                <w:rFonts w:hint="eastAsia" w:ascii="仿宋" w:hAnsi="仿宋" w:eastAsia="仿宋" w:cs="仿宋"/>
                <w:sz w:val="24"/>
                <w:szCs w:val="24"/>
              </w:rPr>
            </w:pPr>
            <w:r>
              <w:rPr>
                <w:rFonts w:hint="eastAsia" w:ascii="仿宋" w:hAnsi="仿宋" w:eastAsia="仿宋" w:cs="仿宋"/>
                <w:sz w:val="24"/>
                <w:szCs w:val="24"/>
              </w:rPr>
              <w:t>踏勘现场</w:t>
            </w:r>
          </w:p>
        </w:tc>
        <w:tc>
          <w:tcPr>
            <w:tcW w:w="4536" w:type="dxa"/>
            <w:tcBorders>
              <w:top w:val="single" w:color="auto" w:sz="4" w:space="0"/>
              <w:left w:val="single" w:color="auto" w:sz="4" w:space="0"/>
              <w:bottom w:val="single" w:color="auto" w:sz="4" w:space="0"/>
              <w:right w:val="single" w:color="auto" w:sz="4" w:space="0"/>
            </w:tcBorders>
            <w:vAlign w:val="center"/>
          </w:tcPr>
          <w:p w14:paraId="223E4FC6">
            <w:pPr>
              <w:spacing w:line="420" w:lineRule="exact"/>
              <w:rPr>
                <w:rFonts w:hint="eastAsia" w:ascii="仿宋" w:hAnsi="仿宋" w:eastAsia="仿宋" w:cs="Arial"/>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不组织</w:t>
            </w:r>
            <w:r>
              <w:rPr>
                <w:rFonts w:hint="eastAsia" w:ascii="仿宋" w:hAnsi="仿宋" w:eastAsia="仿宋" w:cs="Arial"/>
                <w:sz w:val="24"/>
                <w:szCs w:val="24"/>
              </w:rPr>
              <w:t>，供应商可联系采购人自行踏勘。</w:t>
            </w:r>
          </w:p>
          <w:p w14:paraId="0875DBE8">
            <w:pPr>
              <w:snapToGrid w:val="0"/>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组织，踏勘时间：</w:t>
            </w:r>
          </w:p>
          <w:p w14:paraId="61878B58">
            <w:pPr>
              <w:snapToGrid w:val="0"/>
              <w:rPr>
                <w:rFonts w:hint="eastAsia" w:ascii="仿宋" w:hAnsi="仿宋" w:eastAsia="仿宋" w:cs="仿宋"/>
                <w:sz w:val="24"/>
                <w:szCs w:val="24"/>
              </w:rPr>
            </w:pPr>
            <w:r>
              <w:rPr>
                <w:rFonts w:hint="eastAsia" w:ascii="仿宋" w:hAnsi="仿宋" w:eastAsia="仿宋" w:cs="仿宋"/>
                <w:sz w:val="24"/>
                <w:szCs w:val="24"/>
              </w:rPr>
              <w:t xml:space="preserve">        踏勘集中地点：</w:t>
            </w:r>
          </w:p>
        </w:tc>
      </w:tr>
      <w:tr w14:paraId="62029839">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4453732F">
            <w:pPr>
              <w:snapToGrid w:val="0"/>
              <w:jc w:val="center"/>
              <w:rPr>
                <w:rFonts w:hint="eastAsia" w:ascii="仿宋" w:hAnsi="仿宋" w:eastAsia="仿宋" w:cs="仿宋"/>
                <w:sz w:val="24"/>
                <w:szCs w:val="24"/>
              </w:rPr>
            </w:pPr>
            <w:r>
              <w:rPr>
                <w:rFonts w:hint="eastAsia" w:ascii="仿宋" w:hAnsi="仿宋" w:eastAsia="仿宋" w:cs="仿宋"/>
                <w:sz w:val="24"/>
                <w:szCs w:val="24"/>
              </w:rPr>
              <w:t>1.8</w:t>
            </w:r>
          </w:p>
        </w:tc>
        <w:tc>
          <w:tcPr>
            <w:tcW w:w="3211" w:type="dxa"/>
            <w:tcBorders>
              <w:top w:val="single" w:color="auto" w:sz="4" w:space="0"/>
              <w:left w:val="single" w:color="auto" w:sz="4" w:space="0"/>
              <w:bottom w:val="single" w:color="auto" w:sz="4" w:space="0"/>
              <w:right w:val="single" w:color="auto" w:sz="4" w:space="0"/>
            </w:tcBorders>
            <w:vAlign w:val="center"/>
          </w:tcPr>
          <w:p w14:paraId="6904F13A">
            <w:pPr>
              <w:snapToGrid w:val="0"/>
              <w:jc w:val="left"/>
              <w:rPr>
                <w:rFonts w:hint="eastAsia" w:ascii="仿宋" w:hAnsi="仿宋" w:eastAsia="仿宋" w:cs="仿宋"/>
                <w:sz w:val="24"/>
                <w:szCs w:val="24"/>
              </w:rPr>
            </w:pPr>
            <w:r>
              <w:rPr>
                <w:rFonts w:hint="eastAsia" w:ascii="仿宋" w:hAnsi="仿宋" w:eastAsia="仿宋" w:cs="仿宋"/>
                <w:sz w:val="24"/>
                <w:szCs w:val="24"/>
              </w:rPr>
              <w:t>询比采购预备会</w:t>
            </w:r>
          </w:p>
        </w:tc>
        <w:tc>
          <w:tcPr>
            <w:tcW w:w="4536" w:type="dxa"/>
            <w:tcBorders>
              <w:top w:val="single" w:color="auto" w:sz="4" w:space="0"/>
              <w:left w:val="single" w:color="auto" w:sz="4" w:space="0"/>
              <w:bottom w:val="single" w:color="auto" w:sz="4" w:space="0"/>
              <w:right w:val="single" w:color="auto" w:sz="4" w:space="0"/>
            </w:tcBorders>
            <w:vAlign w:val="center"/>
          </w:tcPr>
          <w:p w14:paraId="493DC6AF">
            <w:pPr>
              <w:snapToGrid w:val="0"/>
              <w:jc w:val="left"/>
              <w:rPr>
                <w:rFonts w:hint="eastAsia" w:ascii="仿宋" w:hAnsi="仿宋" w:eastAsia="仿宋" w:cs="仿宋"/>
                <w:sz w:val="24"/>
                <w:szCs w:val="24"/>
              </w:rPr>
            </w:pPr>
            <w:r>
              <w:rPr>
                <w:rFonts w:hint="eastAsia" w:ascii="仿宋" w:hAnsi="仿宋" w:eastAsia="仿宋" w:cs="仿宋"/>
                <w:sz w:val="24"/>
                <w:szCs w:val="24"/>
              </w:rPr>
              <w:t>不召开</w:t>
            </w:r>
          </w:p>
        </w:tc>
      </w:tr>
      <w:tr w14:paraId="3A6A5554">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521E8945">
            <w:pPr>
              <w:snapToGrid w:val="0"/>
              <w:jc w:val="center"/>
              <w:rPr>
                <w:rFonts w:hint="eastAsia" w:ascii="仿宋" w:hAnsi="仿宋" w:eastAsia="仿宋" w:cs="仿宋"/>
                <w:sz w:val="24"/>
                <w:szCs w:val="24"/>
              </w:rPr>
            </w:pPr>
            <w:r>
              <w:rPr>
                <w:rFonts w:hint="eastAsia" w:ascii="仿宋" w:hAnsi="仿宋" w:eastAsia="仿宋" w:cs="仿宋"/>
                <w:sz w:val="24"/>
                <w:szCs w:val="24"/>
              </w:rPr>
              <w:t>1.10.2</w:t>
            </w:r>
          </w:p>
        </w:tc>
        <w:tc>
          <w:tcPr>
            <w:tcW w:w="3211" w:type="dxa"/>
            <w:tcBorders>
              <w:top w:val="single" w:color="auto" w:sz="4" w:space="0"/>
              <w:left w:val="single" w:color="auto" w:sz="4" w:space="0"/>
              <w:bottom w:val="single" w:color="auto" w:sz="4" w:space="0"/>
              <w:right w:val="single" w:color="auto" w:sz="4" w:space="0"/>
            </w:tcBorders>
            <w:vAlign w:val="center"/>
          </w:tcPr>
          <w:p w14:paraId="6B16FECB">
            <w:pPr>
              <w:snapToGrid w:val="0"/>
              <w:jc w:val="left"/>
              <w:rPr>
                <w:rFonts w:hint="eastAsia" w:ascii="仿宋" w:hAnsi="仿宋" w:eastAsia="仿宋" w:cs="仿宋"/>
                <w:sz w:val="24"/>
                <w:szCs w:val="24"/>
              </w:rPr>
            </w:pPr>
            <w:r>
              <w:rPr>
                <w:rFonts w:hint="eastAsia" w:ascii="仿宋" w:hAnsi="仿宋" w:eastAsia="仿宋" w:cs="仿宋"/>
                <w:sz w:val="24"/>
                <w:szCs w:val="24"/>
              </w:rPr>
              <w:t>对非关键条款的偏差</w:t>
            </w:r>
          </w:p>
        </w:tc>
        <w:tc>
          <w:tcPr>
            <w:tcW w:w="4536" w:type="dxa"/>
            <w:tcBorders>
              <w:top w:val="single" w:color="auto" w:sz="4" w:space="0"/>
              <w:left w:val="single" w:color="auto" w:sz="4" w:space="0"/>
              <w:bottom w:val="single" w:color="auto" w:sz="4" w:space="0"/>
              <w:right w:val="single" w:color="auto" w:sz="4" w:space="0"/>
            </w:tcBorders>
            <w:vAlign w:val="center"/>
          </w:tcPr>
          <w:p w14:paraId="2293C39F">
            <w:pPr>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不允许偏差</w:t>
            </w:r>
          </w:p>
        </w:tc>
      </w:tr>
      <w:tr w14:paraId="539B9309">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5F586D15">
            <w:pPr>
              <w:snapToGrid w:val="0"/>
              <w:jc w:val="center"/>
              <w:rPr>
                <w:rFonts w:hint="eastAsia" w:ascii="仿宋" w:hAnsi="仿宋" w:eastAsia="仿宋" w:cs="仿宋"/>
                <w:sz w:val="24"/>
                <w:szCs w:val="24"/>
              </w:rPr>
            </w:pPr>
            <w:r>
              <w:rPr>
                <w:rFonts w:hint="eastAsia" w:ascii="仿宋" w:hAnsi="仿宋" w:eastAsia="仿宋" w:cs="仿宋"/>
                <w:sz w:val="24"/>
                <w:szCs w:val="24"/>
              </w:rPr>
              <w:t>2.1（7）</w:t>
            </w:r>
          </w:p>
        </w:tc>
        <w:tc>
          <w:tcPr>
            <w:tcW w:w="3211" w:type="dxa"/>
            <w:tcBorders>
              <w:top w:val="single" w:color="auto" w:sz="4" w:space="0"/>
              <w:left w:val="single" w:color="auto" w:sz="4" w:space="0"/>
              <w:bottom w:val="single" w:color="auto" w:sz="4" w:space="0"/>
              <w:right w:val="single" w:color="auto" w:sz="4" w:space="0"/>
            </w:tcBorders>
            <w:vAlign w:val="center"/>
          </w:tcPr>
          <w:p w14:paraId="5AC03669">
            <w:pPr>
              <w:snapToGrid w:val="0"/>
              <w:jc w:val="left"/>
              <w:rPr>
                <w:rFonts w:hint="eastAsia" w:ascii="仿宋" w:hAnsi="仿宋" w:eastAsia="仿宋" w:cs="仿宋"/>
                <w:sz w:val="24"/>
                <w:szCs w:val="24"/>
              </w:rPr>
            </w:pPr>
            <w:r>
              <w:rPr>
                <w:rFonts w:hint="eastAsia" w:ascii="仿宋" w:hAnsi="仿宋" w:eastAsia="仿宋" w:cs="仿宋"/>
                <w:sz w:val="24"/>
                <w:szCs w:val="24"/>
              </w:rPr>
              <w:t>构成采购文件的其他资料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14:paraId="6094BC18">
            <w:pPr>
              <w:snapToGrid w:val="0"/>
              <w:jc w:val="left"/>
              <w:rPr>
                <w:rFonts w:hint="eastAsia" w:ascii="仿宋" w:hAnsi="仿宋" w:eastAsia="仿宋" w:cs="仿宋"/>
                <w:sz w:val="24"/>
                <w:szCs w:val="24"/>
              </w:rPr>
            </w:pPr>
            <w:r>
              <w:rPr>
                <w:rFonts w:hint="eastAsia" w:ascii="仿宋" w:hAnsi="仿宋" w:eastAsia="仿宋" w:cs="仿宋"/>
                <w:sz w:val="24"/>
                <w:szCs w:val="24"/>
              </w:rPr>
              <w:t>资料名称：</w:t>
            </w:r>
          </w:p>
        </w:tc>
      </w:tr>
      <w:tr w14:paraId="56C88474">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7D26C92B">
            <w:pPr>
              <w:snapToGrid w:val="0"/>
              <w:jc w:val="center"/>
              <w:rPr>
                <w:rFonts w:hint="eastAsia" w:ascii="仿宋" w:hAnsi="仿宋" w:eastAsia="仿宋" w:cs="仿宋"/>
                <w:sz w:val="24"/>
                <w:szCs w:val="24"/>
              </w:rPr>
            </w:pPr>
            <w:r>
              <w:rPr>
                <w:rFonts w:hint="eastAsia" w:ascii="仿宋" w:hAnsi="仿宋" w:eastAsia="仿宋" w:cs="仿宋"/>
                <w:sz w:val="24"/>
                <w:szCs w:val="24"/>
              </w:rPr>
              <w:t>2.2.1</w:t>
            </w:r>
          </w:p>
        </w:tc>
        <w:tc>
          <w:tcPr>
            <w:tcW w:w="3211" w:type="dxa"/>
            <w:tcBorders>
              <w:top w:val="single" w:color="auto" w:sz="4" w:space="0"/>
              <w:left w:val="single" w:color="auto" w:sz="4" w:space="0"/>
              <w:bottom w:val="single" w:color="auto" w:sz="4" w:space="0"/>
              <w:right w:val="single" w:color="auto" w:sz="4" w:space="0"/>
            </w:tcBorders>
            <w:vAlign w:val="center"/>
          </w:tcPr>
          <w:p w14:paraId="5B9A8E19">
            <w:pPr>
              <w:snapToGrid w:val="0"/>
              <w:jc w:val="left"/>
              <w:rPr>
                <w:rFonts w:hint="eastAsia" w:ascii="仿宋" w:hAnsi="仿宋" w:eastAsia="仿宋" w:cs="仿宋"/>
                <w:sz w:val="24"/>
                <w:szCs w:val="24"/>
              </w:rPr>
            </w:pPr>
            <w:r>
              <w:rPr>
                <w:rFonts w:hint="eastAsia" w:ascii="仿宋" w:hAnsi="仿宋" w:eastAsia="仿宋" w:cs="仿宋"/>
                <w:sz w:val="24"/>
                <w:szCs w:val="24"/>
              </w:rPr>
              <w:t>供应商要求澄清采购文件的时间</w:t>
            </w:r>
          </w:p>
        </w:tc>
        <w:tc>
          <w:tcPr>
            <w:tcW w:w="4536" w:type="dxa"/>
            <w:tcBorders>
              <w:top w:val="single" w:color="auto" w:sz="4" w:space="0"/>
              <w:left w:val="single" w:color="auto" w:sz="4" w:space="0"/>
              <w:bottom w:val="single" w:color="auto" w:sz="4" w:space="0"/>
              <w:right w:val="single" w:color="auto" w:sz="4" w:space="0"/>
            </w:tcBorders>
            <w:vAlign w:val="center"/>
          </w:tcPr>
          <w:p w14:paraId="49C0137B">
            <w:pPr>
              <w:snapToGrid w:val="0"/>
              <w:jc w:val="left"/>
              <w:rPr>
                <w:rFonts w:hint="eastAsia" w:ascii="仿宋" w:hAnsi="仿宋" w:eastAsia="仿宋" w:cs="仿宋"/>
                <w:sz w:val="24"/>
                <w:szCs w:val="24"/>
              </w:rPr>
            </w:pPr>
            <w:r>
              <w:rPr>
                <w:rFonts w:hint="eastAsia" w:ascii="仿宋" w:hAnsi="仿宋" w:eastAsia="仿宋" w:cs="Arial"/>
                <w:sz w:val="24"/>
                <w:szCs w:val="24"/>
              </w:rPr>
              <w:t>截止时间：</w:t>
            </w:r>
            <w:r>
              <w:rPr>
                <w:rFonts w:hint="eastAsia" w:ascii="仿宋" w:hAnsi="仿宋" w:eastAsia="仿宋" w:cs="Arial"/>
                <w:sz w:val="24"/>
                <w:szCs w:val="24"/>
                <w:lang w:eastAsia="zh-CN"/>
              </w:rPr>
              <w:t>2025</w:t>
            </w:r>
            <w:r>
              <w:rPr>
                <w:rFonts w:hint="eastAsia" w:ascii="仿宋" w:hAnsi="仿宋" w:eastAsia="仿宋" w:cs="Arial"/>
                <w:sz w:val="24"/>
                <w:szCs w:val="24"/>
              </w:rPr>
              <w:t>年</w:t>
            </w:r>
            <w:r>
              <w:rPr>
                <w:rFonts w:hint="eastAsia" w:ascii="仿宋" w:hAnsi="仿宋" w:eastAsia="仿宋" w:cs="Arial"/>
                <w:sz w:val="24"/>
                <w:szCs w:val="24"/>
                <w:lang w:val="en-US" w:eastAsia="zh-CN"/>
              </w:rPr>
              <w:t>4</w:t>
            </w:r>
            <w:r>
              <w:rPr>
                <w:rFonts w:hint="eastAsia" w:ascii="仿宋" w:hAnsi="仿宋" w:eastAsia="仿宋" w:cs="Arial"/>
                <w:sz w:val="24"/>
                <w:szCs w:val="24"/>
              </w:rPr>
              <w:t>月</w:t>
            </w:r>
            <w:r>
              <w:rPr>
                <w:rFonts w:hint="eastAsia" w:ascii="仿宋" w:hAnsi="仿宋" w:eastAsia="仿宋" w:cs="Arial"/>
                <w:sz w:val="24"/>
                <w:szCs w:val="24"/>
                <w:lang w:val="en-US" w:eastAsia="zh-CN"/>
              </w:rPr>
              <w:t>8</w:t>
            </w:r>
            <w:r>
              <w:rPr>
                <w:rFonts w:hint="eastAsia" w:ascii="仿宋" w:hAnsi="仿宋" w:eastAsia="仿宋" w:cs="Arial"/>
                <w:sz w:val="24"/>
                <w:szCs w:val="24"/>
              </w:rPr>
              <w:t>日17时00分</w:t>
            </w:r>
          </w:p>
        </w:tc>
      </w:tr>
      <w:tr w14:paraId="6652B3F3">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75871161">
            <w:pPr>
              <w:snapToGrid w:val="0"/>
              <w:jc w:val="center"/>
              <w:rPr>
                <w:rFonts w:hint="eastAsia" w:ascii="仿宋" w:hAnsi="仿宋" w:eastAsia="仿宋" w:cs="仿宋"/>
                <w:sz w:val="24"/>
                <w:szCs w:val="24"/>
              </w:rPr>
            </w:pPr>
            <w:r>
              <w:rPr>
                <w:rFonts w:hint="eastAsia" w:ascii="仿宋" w:hAnsi="仿宋" w:eastAsia="仿宋" w:cs="仿宋"/>
                <w:sz w:val="24"/>
                <w:szCs w:val="24"/>
              </w:rPr>
              <w:t>2.2.3</w:t>
            </w:r>
          </w:p>
        </w:tc>
        <w:tc>
          <w:tcPr>
            <w:tcW w:w="3211" w:type="dxa"/>
            <w:tcBorders>
              <w:top w:val="single" w:color="auto" w:sz="4" w:space="0"/>
              <w:left w:val="single" w:color="auto" w:sz="4" w:space="0"/>
              <w:bottom w:val="single" w:color="auto" w:sz="4" w:space="0"/>
              <w:right w:val="single" w:color="auto" w:sz="4" w:space="0"/>
            </w:tcBorders>
            <w:vAlign w:val="center"/>
          </w:tcPr>
          <w:p w14:paraId="3197B95A">
            <w:pPr>
              <w:snapToGrid w:val="0"/>
              <w:jc w:val="left"/>
              <w:rPr>
                <w:rFonts w:hint="eastAsia" w:ascii="仿宋" w:hAnsi="仿宋" w:eastAsia="仿宋" w:cs="仿宋"/>
                <w:sz w:val="24"/>
                <w:szCs w:val="24"/>
              </w:rPr>
            </w:pPr>
            <w:r>
              <w:rPr>
                <w:rFonts w:hint="eastAsia" w:ascii="仿宋" w:hAnsi="仿宋" w:eastAsia="仿宋" w:cs="仿宋"/>
                <w:sz w:val="24"/>
                <w:szCs w:val="24"/>
              </w:rPr>
              <w:t>供应商确认收到采购</w:t>
            </w:r>
          </w:p>
          <w:p w14:paraId="6432A187">
            <w:pPr>
              <w:snapToGrid w:val="0"/>
              <w:jc w:val="left"/>
              <w:rPr>
                <w:rFonts w:hint="eastAsia" w:ascii="仿宋" w:hAnsi="仿宋" w:eastAsia="仿宋" w:cs="仿宋"/>
                <w:sz w:val="24"/>
                <w:szCs w:val="24"/>
              </w:rPr>
            </w:pPr>
            <w:r>
              <w:rPr>
                <w:rFonts w:hint="eastAsia" w:ascii="仿宋" w:hAnsi="仿宋" w:eastAsia="仿宋" w:cs="仿宋"/>
                <w:sz w:val="24"/>
                <w:szCs w:val="24"/>
              </w:rPr>
              <w:t>文件补充文件</w:t>
            </w:r>
          </w:p>
        </w:tc>
        <w:tc>
          <w:tcPr>
            <w:tcW w:w="4536" w:type="dxa"/>
            <w:tcBorders>
              <w:top w:val="single" w:color="auto" w:sz="4" w:space="0"/>
              <w:left w:val="single" w:color="auto" w:sz="4" w:space="0"/>
              <w:bottom w:val="single" w:color="auto" w:sz="4" w:space="0"/>
              <w:right w:val="single" w:color="auto" w:sz="4" w:space="0"/>
            </w:tcBorders>
            <w:vAlign w:val="center"/>
          </w:tcPr>
          <w:p w14:paraId="5A01A572">
            <w:pPr>
              <w:snapToGrid w:val="0"/>
              <w:jc w:val="left"/>
              <w:rPr>
                <w:rFonts w:hint="eastAsia" w:ascii="仿宋" w:hAnsi="仿宋" w:eastAsia="仿宋" w:cs="仿宋"/>
                <w:sz w:val="24"/>
                <w:szCs w:val="24"/>
              </w:rPr>
            </w:pPr>
            <w:r>
              <w:rPr>
                <w:rFonts w:hint="eastAsia" w:ascii="仿宋" w:hAnsi="仿宋" w:eastAsia="仿宋" w:cs="仿宋"/>
                <w:sz w:val="24"/>
                <w:szCs w:val="24"/>
                <w:lang w:val="en-US" w:eastAsia="zh-CN"/>
              </w:rPr>
              <w:t>采购人自行查看、下载，无需确认。</w:t>
            </w:r>
          </w:p>
        </w:tc>
      </w:tr>
      <w:tr w14:paraId="5DA5F07D">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30B8956F">
            <w:pPr>
              <w:snapToGrid w:val="0"/>
              <w:jc w:val="center"/>
              <w:rPr>
                <w:rFonts w:hint="eastAsia" w:ascii="仿宋" w:hAnsi="仿宋" w:eastAsia="仿宋" w:cs="仿宋"/>
                <w:sz w:val="24"/>
                <w:szCs w:val="24"/>
              </w:rPr>
            </w:pPr>
            <w:r>
              <w:rPr>
                <w:rFonts w:hint="eastAsia" w:ascii="仿宋" w:hAnsi="仿宋" w:eastAsia="仿宋" w:cs="仿宋"/>
                <w:sz w:val="24"/>
                <w:szCs w:val="24"/>
              </w:rPr>
              <w:t>3.1.1（9）</w:t>
            </w:r>
          </w:p>
        </w:tc>
        <w:tc>
          <w:tcPr>
            <w:tcW w:w="3211" w:type="dxa"/>
            <w:tcBorders>
              <w:top w:val="single" w:color="auto" w:sz="4" w:space="0"/>
              <w:left w:val="single" w:color="auto" w:sz="4" w:space="0"/>
              <w:bottom w:val="single" w:color="auto" w:sz="4" w:space="0"/>
              <w:right w:val="single" w:color="auto" w:sz="4" w:space="0"/>
            </w:tcBorders>
            <w:vAlign w:val="center"/>
          </w:tcPr>
          <w:p w14:paraId="65CF8A0F">
            <w:pPr>
              <w:snapToGrid w:val="0"/>
              <w:jc w:val="left"/>
              <w:rPr>
                <w:rFonts w:hint="eastAsia" w:ascii="仿宋" w:hAnsi="仿宋" w:eastAsia="仿宋" w:cs="仿宋"/>
                <w:sz w:val="24"/>
                <w:szCs w:val="24"/>
              </w:rPr>
            </w:pPr>
            <w:r>
              <w:rPr>
                <w:rFonts w:hint="eastAsia" w:ascii="仿宋" w:hAnsi="仿宋" w:eastAsia="仿宋" w:cs="仿宋"/>
                <w:sz w:val="24"/>
                <w:szCs w:val="24"/>
              </w:rPr>
              <w:t>构成响应文件的其他资料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14:paraId="3F37A82B">
            <w:pPr>
              <w:snapToGrid w:val="0"/>
              <w:jc w:val="left"/>
              <w:rPr>
                <w:rFonts w:hint="eastAsia" w:ascii="仿宋" w:hAnsi="仿宋" w:eastAsia="仿宋" w:cs="仿宋"/>
                <w:sz w:val="24"/>
                <w:szCs w:val="24"/>
              </w:rPr>
            </w:pPr>
            <w:r>
              <w:rPr>
                <w:rFonts w:hint="eastAsia" w:ascii="仿宋" w:hAnsi="仿宋" w:eastAsia="仿宋" w:cs="Arial"/>
                <w:sz w:val="24"/>
                <w:szCs w:val="24"/>
              </w:rPr>
              <w:t>供应商自行考虑。</w:t>
            </w:r>
          </w:p>
        </w:tc>
      </w:tr>
      <w:tr w14:paraId="45E44FBE">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53EA9967">
            <w:pPr>
              <w:snapToGrid w:val="0"/>
              <w:jc w:val="center"/>
              <w:rPr>
                <w:rFonts w:hint="eastAsia" w:ascii="仿宋" w:hAnsi="仿宋" w:eastAsia="仿宋" w:cs="仿宋"/>
                <w:sz w:val="24"/>
                <w:szCs w:val="24"/>
              </w:rPr>
            </w:pPr>
            <w:r>
              <w:rPr>
                <w:rFonts w:hint="eastAsia" w:ascii="仿宋" w:hAnsi="仿宋" w:eastAsia="仿宋" w:cs="仿宋"/>
                <w:sz w:val="24"/>
                <w:szCs w:val="24"/>
              </w:rPr>
              <w:t>3.2.3</w:t>
            </w:r>
          </w:p>
        </w:tc>
        <w:tc>
          <w:tcPr>
            <w:tcW w:w="3211" w:type="dxa"/>
            <w:tcBorders>
              <w:top w:val="single" w:color="auto" w:sz="4" w:space="0"/>
              <w:left w:val="single" w:color="auto" w:sz="4" w:space="0"/>
              <w:bottom w:val="single" w:color="auto" w:sz="4" w:space="0"/>
              <w:right w:val="single" w:color="auto" w:sz="4" w:space="0"/>
            </w:tcBorders>
            <w:vAlign w:val="center"/>
          </w:tcPr>
          <w:p w14:paraId="39523D7D">
            <w:pPr>
              <w:snapToGrid w:val="0"/>
              <w:jc w:val="center"/>
              <w:rPr>
                <w:rFonts w:hint="eastAsia" w:ascii="仿宋" w:hAnsi="仿宋" w:eastAsia="仿宋" w:cs="仿宋"/>
                <w:sz w:val="24"/>
                <w:szCs w:val="24"/>
              </w:rPr>
            </w:pPr>
            <w:r>
              <w:rPr>
                <w:rFonts w:hint="eastAsia" w:ascii="仿宋" w:hAnsi="仿宋" w:eastAsia="仿宋" w:cs="仿宋"/>
                <w:sz w:val="24"/>
                <w:szCs w:val="24"/>
              </w:rPr>
              <w:t>最高限价或其计算方法</w:t>
            </w:r>
          </w:p>
        </w:tc>
        <w:tc>
          <w:tcPr>
            <w:tcW w:w="4536" w:type="dxa"/>
            <w:tcBorders>
              <w:top w:val="single" w:color="auto" w:sz="4" w:space="0"/>
              <w:left w:val="single" w:color="auto" w:sz="4" w:space="0"/>
              <w:bottom w:val="single" w:color="auto" w:sz="4" w:space="0"/>
              <w:right w:val="single" w:color="auto" w:sz="4" w:space="0"/>
            </w:tcBorders>
            <w:vAlign w:val="center"/>
          </w:tcPr>
          <w:p w14:paraId="308E6D3E">
            <w:pPr>
              <w:snapToGrid w:val="0"/>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无</w:t>
            </w:r>
          </w:p>
          <w:p w14:paraId="3BAD9438">
            <w:pPr>
              <w:snapToGrid w:val="0"/>
              <w:jc w:val="left"/>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有，最高限价或其计算方法：70000.00元/年</w:t>
            </w:r>
          </w:p>
        </w:tc>
      </w:tr>
      <w:tr w14:paraId="0FA5C8C4">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0168438B">
            <w:pPr>
              <w:snapToGrid w:val="0"/>
              <w:jc w:val="center"/>
              <w:rPr>
                <w:rFonts w:hint="eastAsia" w:ascii="仿宋" w:hAnsi="仿宋" w:eastAsia="仿宋" w:cs="仿宋"/>
                <w:sz w:val="24"/>
                <w:szCs w:val="24"/>
              </w:rPr>
            </w:pPr>
            <w:r>
              <w:rPr>
                <w:rFonts w:hint="eastAsia" w:ascii="仿宋" w:hAnsi="仿宋" w:eastAsia="仿宋" w:cs="仿宋"/>
                <w:sz w:val="24"/>
                <w:szCs w:val="24"/>
              </w:rPr>
              <w:t>3.2.4</w:t>
            </w:r>
          </w:p>
        </w:tc>
        <w:tc>
          <w:tcPr>
            <w:tcW w:w="3211" w:type="dxa"/>
            <w:tcBorders>
              <w:top w:val="single" w:color="auto" w:sz="4" w:space="0"/>
              <w:left w:val="single" w:color="auto" w:sz="4" w:space="0"/>
              <w:bottom w:val="single" w:color="auto" w:sz="4" w:space="0"/>
              <w:right w:val="single" w:color="auto" w:sz="4" w:space="0"/>
            </w:tcBorders>
            <w:vAlign w:val="center"/>
          </w:tcPr>
          <w:p w14:paraId="4FFE5DA1">
            <w:pPr>
              <w:snapToGrid w:val="0"/>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sz w:val="24"/>
                <w:szCs w:val="24"/>
                <w:lang w:val="en-US" w:eastAsia="zh-CN"/>
              </w:rPr>
              <w:t>方式</w:t>
            </w:r>
          </w:p>
        </w:tc>
        <w:tc>
          <w:tcPr>
            <w:tcW w:w="4536" w:type="dxa"/>
            <w:tcBorders>
              <w:top w:val="single" w:color="auto" w:sz="4" w:space="0"/>
              <w:left w:val="single" w:color="auto" w:sz="4" w:space="0"/>
              <w:bottom w:val="single" w:color="auto" w:sz="4" w:space="0"/>
              <w:right w:val="single" w:color="auto" w:sz="4" w:space="0"/>
            </w:tcBorders>
            <w:vAlign w:val="center"/>
          </w:tcPr>
          <w:p w14:paraId="4D8EBFFA">
            <w:pPr>
              <w:snapToGrid w:val="0"/>
              <w:spacing w:line="360" w:lineRule="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rPr>
              <w:t>总价：</w:t>
            </w:r>
            <w:r>
              <w:rPr>
                <w:rFonts w:hint="eastAsia" w:ascii="Times New Roman" w:hAnsi="Times New Roman" w:eastAsia="仿宋" w:cs="Times New Roman"/>
                <w:sz w:val="24"/>
                <w:szCs w:val="24"/>
                <w:lang w:val="en-US" w:eastAsia="zh-CN"/>
              </w:rPr>
              <w:t>报价为每年费用的总价。</w:t>
            </w:r>
          </w:p>
          <w:p w14:paraId="5E5A8123">
            <w:pPr>
              <w:snapToGrid w:val="0"/>
              <w:spacing w:line="360" w:lineRule="auto"/>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□单价：</w:t>
            </w:r>
          </w:p>
          <w:p w14:paraId="679D7EAA">
            <w:pPr>
              <w:snapToGrid w:val="0"/>
              <w:spacing w:line="360" w:lineRule="auto"/>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□费率：</w:t>
            </w:r>
          </w:p>
          <w:p w14:paraId="7B5CDF27">
            <w:pPr>
              <w:snapToGrid w:val="0"/>
              <w:jc w:val="left"/>
              <w:rPr>
                <w:rFonts w:hint="eastAsia" w:ascii="仿宋" w:hAnsi="仿宋" w:eastAsia="仿宋" w:cs="仿宋"/>
                <w:sz w:val="24"/>
                <w:szCs w:val="24"/>
              </w:rPr>
            </w:pPr>
            <w:r>
              <w:rPr>
                <w:rFonts w:hint="eastAsia" w:ascii="Times New Roman" w:hAnsi="Times New Roman" w:eastAsia="仿宋" w:cs="Times New Roman"/>
                <w:sz w:val="24"/>
                <w:szCs w:val="24"/>
              </w:rPr>
              <w:t>□定价：</w:t>
            </w:r>
          </w:p>
        </w:tc>
      </w:tr>
      <w:tr w14:paraId="3D3A7B0B">
        <w:tblPrEx>
          <w:tblCellMar>
            <w:top w:w="0" w:type="dxa"/>
            <w:left w:w="108" w:type="dxa"/>
            <w:bottom w:w="0" w:type="dxa"/>
            <w:right w:w="108" w:type="dxa"/>
          </w:tblCellMar>
        </w:tblPrEx>
        <w:trPr>
          <w:trHeight w:val="442" w:hRule="atLeast"/>
        </w:trPr>
        <w:tc>
          <w:tcPr>
            <w:tcW w:w="1008" w:type="dxa"/>
            <w:tcBorders>
              <w:top w:val="single" w:color="auto" w:sz="4" w:space="0"/>
              <w:left w:val="single" w:color="auto" w:sz="4" w:space="0"/>
              <w:bottom w:val="single" w:color="auto" w:sz="4" w:space="0"/>
              <w:right w:val="single" w:color="auto" w:sz="4" w:space="0"/>
            </w:tcBorders>
            <w:vAlign w:val="center"/>
          </w:tcPr>
          <w:p w14:paraId="2C235386">
            <w:pPr>
              <w:snapToGrid w:val="0"/>
              <w:jc w:val="center"/>
              <w:rPr>
                <w:rFonts w:hint="eastAsia" w:ascii="仿宋" w:hAnsi="仿宋" w:eastAsia="仿宋" w:cs="仿宋"/>
                <w:sz w:val="24"/>
                <w:szCs w:val="24"/>
              </w:rPr>
            </w:pPr>
            <w:r>
              <w:rPr>
                <w:rFonts w:hint="eastAsia" w:ascii="仿宋" w:hAnsi="仿宋" w:eastAsia="仿宋" w:cs="仿宋"/>
                <w:sz w:val="24"/>
                <w:szCs w:val="24"/>
              </w:rPr>
              <w:t>3.3.1</w:t>
            </w:r>
          </w:p>
        </w:tc>
        <w:tc>
          <w:tcPr>
            <w:tcW w:w="3211" w:type="dxa"/>
            <w:tcBorders>
              <w:top w:val="single" w:color="auto" w:sz="4" w:space="0"/>
              <w:left w:val="single" w:color="auto" w:sz="4" w:space="0"/>
              <w:bottom w:val="single" w:color="auto" w:sz="4" w:space="0"/>
              <w:right w:val="single" w:color="auto" w:sz="4" w:space="0"/>
            </w:tcBorders>
            <w:vAlign w:val="center"/>
          </w:tcPr>
          <w:p w14:paraId="5D18B8AF">
            <w:pPr>
              <w:snapToGrid w:val="0"/>
              <w:jc w:val="center"/>
              <w:rPr>
                <w:rFonts w:hint="eastAsia" w:ascii="仿宋" w:hAnsi="仿宋" w:eastAsia="仿宋" w:cs="仿宋"/>
                <w:sz w:val="24"/>
                <w:szCs w:val="24"/>
              </w:rPr>
            </w:pPr>
            <w:r>
              <w:rPr>
                <w:rFonts w:hint="eastAsia" w:ascii="仿宋" w:hAnsi="仿宋" w:eastAsia="仿宋" w:cs="仿宋"/>
                <w:sz w:val="24"/>
                <w:szCs w:val="24"/>
              </w:rPr>
              <w:t>响应文件有效期</w:t>
            </w:r>
          </w:p>
        </w:tc>
        <w:tc>
          <w:tcPr>
            <w:tcW w:w="4536" w:type="dxa"/>
            <w:tcBorders>
              <w:top w:val="single" w:color="auto" w:sz="4" w:space="0"/>
              <w:left w:val="single" w:color="auto" w:sz="4" w:space="0"/>
              <w:bottom w:val="single" w:color="auto" w:sz="4" w:space="0"/>
              <w:right w:val="single" w:color="auto" w:sz="4" w:space="0"/>
            </w:tcBorders>
            <w:vAlign w:val="center"/>
          </w:tcPr>
          <w:p w14:paraId="6E1DFBD0">
            <w:pPr>
              <w:snapToGrid w:val="0"/>
              <w:rPr>
                <w:rFonts w:hint="eastAsia" w:ascii="仿宋" w:hAnsi="仿宋" w:eastAsia="仿宋" w:cs="仿宋"/>
                <w:sz w:val="24"/>
                <w:szCs w:val="24"/>
              </w:rPr>
            </w:pPr>
          </w:p>
        </w:tc>
      </w:tr>
      <w:tr w14:paraId="4FCB0E96">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252959DF">
            <w:pPr>
              <w:snapToGrid w:val="0"/>
              <w:jc w:val="center"/>
              <w:rPr>
                <w:rFonts w:hint="eastAsia" w:ascii="仿宋" w:hAnsi="仿宋" w:eastAsia="仿宋" w:cs="仿宋"/>
                <w:sz w:val="24"/>
                <w:szCs w:val="24"/>
              </w:rPr>
            </w:pPr>
            <w:r>
              <w:rPr>
                <w:rFonts w:hint="eastAsia" w:ascii="仿宋" w:hAnsi="仿宋" w:eastAsia="仿宋" w:cs="仿宋"/>
                <w:sz w:val="24"/>
                <w:szCs w:val="24"/>
              </w:rPr>
              <w:t>3.4.1</w:t>
            </w:r>
          </w:p>
        </w:tc>
        <w:tc>
          <w:tcPr>
            <w:tcW w:w="3211" w:type="dxa"/>
            <w:tcBorders>
              <w:top w:val="single" w:color="auto" w:sz="4" w:space="0"/>
              <w:left w:val="single" w:color="auto" w:sz="4" w:space="0"/>
              <w:bottom w:val="single" w:color="auto" w:sz="4" w:space="0"/>
              <w:right w:val="single" w:color="auto" w:sz="4" w:space="0"/>
            </w:tcBorders>
            <w:vAlign w:val="center"/>
          </w:tcPr>
          <w:p w14:paraId="45063D36">
            <w:pPr>
              <w:snapToGrid w:val="0"/>
              <w:jc w:val="center"/>
              <w:rPr>
                <w:rFonts w:hint="eastAsia" w:ascii="仿宋" w:hAnsi="仿宋" w:eastAsia="仿宋" w:cs="仿宋"/>
                <w:sz w:val="24"/>
                <w:szCs w:val="24"/>
              </w:rPr>
            </w:pPr>
            <w:r>
              <w:rPr>
                <w:rFonts w:hint="eastAsia" w:ascii="仿宋" w:hAnsi="仿宋" w:eastAsia="仿宋" w:cs="仿宋"/>
                <w:sz w:val="24"/>
                <w:szCs w:val="24"/>
              </w:rPr>
              <w:t>响应保证金</w:t>
            </w:r>
          </w:p>
        </w:tc>
        <w:tc>
          <w:tcPr>
            <w:tcW w:w="4536" w:type="dxa"/>
            <w:tcBorders>
              <w:top w:val="single" w:color="auto" w:sz="4" w:space="0"/>
              <w:left w:val="single" w:color="auto" w:sz="4" w:space="0"/>
              <w:bottom w:val="single" w:color="auto" w:sz="4" w:space="0"/>
              <w:right w:val="single" w:color="auto" w:sz="4" w:space="0"/>
            </w:tcBorders>
            <w:vAlign w:val="center"/>
          </w:tcPr>
          <w:p w14:paraId="03EEE19E">
            <w:pPr>
              <w:pStyle w:val="10"/>
              <w:keepNext w:val="0"/>
              <w:keepLines w:val="0"/>
              <w:pageBreakBefore w:val="0"/>
              <w:widowControl w:val="0"/>
              <w:kinsoku/>
              <w:wordWrap/>
              <w:overflowPunct/>
              <w:topLinePunct/>
              <w:autoSpaceDE/>
              <w:autoSpaceDN/>
              <w:bidi w:val="0"/>
              <w:adjustRightInd/>
              <w:spacing w:line="400" w:lineRule="exact"/>
              <w:ind w:firstLine="0" w:firstLineChars="0"/>
              <w:jc w:val="left"/>
              <w:textAlignment w:val="auto"/>
              <w:rPr>
                <w:rFonts w:hint="eastAsia" w:ascii="仿宋" w:hAnsi="仿宋" w:eastAsia="仿宋" w:cs="仿宋"/>
                <w:szCs w:val="24"/>
              </w:rPr>
            </w:pPr>
            <w:r>
              <w:rPr>
                <w:rFonts w:hint="eastAsia" w:ascii="仿宋" w:hAnsi="仿宋" w:eastAsia="仿宋" w:cs="仿宋"/>
                <w:szCs w:val="24"/>
              </w:rPr>
              <w:t>是否要求</w:t>
            </w:r>
            <w:r>
              <w:rPr>
                <w:rFonts w:hint="eastAsia" w:ascii="仿宋" w:hAnsi="仿宋" w:eastAsia="仿宋" w:cs="仿宋"/>
                <w:szCs w:val="24"/>
                <w:lang w:val="en-US" w:eastAsia="zh-CN"/>
              </w:rPr>
              <w:t>供应商</w:t>
            </w:r>
            <w:r>
              <w:rPr>
                <w:rFonts w:hint="eastAsia" w:ascii="仿宋" w:hAnsi="仿宋" w:eastAsia="仿宋" w:cs="仿宋"/>
                <w:szCs w:val="24"/>
              </w:rPr>
              <w:t>递交</w:t>
            </w:r>
            <w:r>
              <w:rPr>
                <w:rFonts w:hint="eastAsia" w:ascii="仿宋" w:hAnsi="仿宋" w:eastAsia="仿宋" w:cs="仿宋"/>
                <w:szCs w:val="24"/>
                <w:lang w:val="en-US" w:eastAsia="zh-CN"/>
              </w:rPr>
              <w:t>响应</w:t>
            </w:r>
            <w:r>
              <w:rPr>
                <w:rFonts w:hint="eastAsia" w:ascii="仿宋" w:hAnsi="仿宋" w:eastAsia="仿宋" w:cs="仿宋"/>
                <w:szCs w:val="24"/>
              </w:rPr>
              <w:t>保证金：</w:t>
            </w:r>
          </w:p>
          <w:p w14:paraId="4542D9B5">
            <w:pPr>
              <w:pStyle w:val="10"/>
              <w:keepNext w:val="0"/>
              <w:keepLines w:val="0"/>
              <w:pageBreakBefore w:val="0"/>
              <w:widowControl w:val="0"/>
              <w:kinsoku/>
              <w:wordWrap/>
              <w:overflowPunct/>
              <w:topLinePunct/>
              <w:autoSpaceDE/>
              <w:autoSpaceDN/>
              <w:bidi w:val="0"/>
              <w:adjustRightInd/>
              <w:spacing w:line="400" w:lineRule="exact"/>
              <w:ind w:firstLine="0" w:firstLineChars="0"/>
              <w:jc w:val="left"/>
              <w:textAlignment w:val="auto"/>
              <w:rPr>
                <w:rFonts w:hint="eastAsia" w:ascii="仿宋" w:hAnsi="仿宋" w:eastAsia="仿宋" w:cs="仿宋"/>
                <w:szCs w:val="24"/>
              </w:rPr>
            </w:pPr>
            <w:r>
              <w:rPr>
                <w:rFonts w:hint="eastAsia" w:ascii="仿宋" w:hAnsi="仿宋" w:eastAsia="仿宋" w:cs="仿宋"/>
                <w:szCs w:val="24"/>
              </w:rPr>
              <w:t>□不要求</w:t>
            </w:r>
          </w:p>
          <w:p w14:paraId="4DD77056">
            <w:pPr>
              <w:pStyle w:val="10"/>
              <w:keepNext w:val="0"/>
              <w:keepLines w:val="0"/>
              <w:pageBreakBefore w:val="0"/>
              <w:widowControl w:val="0"/>
              <w:kinsoku/>
              <w:wordWrap/>
              <w:overflowPunct/>
              <w:topLinePunct/>
              <w:autoSpaceDE/>
              <w:autoSpaceDN/>
              <w:bidi w:val="0"/>
              <w:adjustRightInd/>
              <w:spacing w:line="400" w:lineRule="exact"/>
              <w:ind w:firstLine="0" w:firstLineChars="0"/>
              <w:jc w:val="left"/>
              <w:textAlignment w:val="auto"/>
              <w:rPr>
                <w:rFonts w:hint="eastAsia" w:ascii="仿宋" w:hAnsi="仿宋" w:eastAsia="仿宋" w:cs="仿宋"/>
                <w:szCs w:val="24"/>
                <w:lang w:val="en-US" w:eastAsia="zh-CN"/>
              </w:rPr>
            </w:pPr>
            <w:r>
              <w:rPr>
                <w:rFonts w:hint="eastAsia" w:ascii="仿宋" w:hAnsi="仿宋" w:eastAsia="仿宋" w:cs="仿宋"/>
                <w:szCs w:val="24"/>
                <w:lang w:eastAsia="zh-CN"/>
              </w:rPr>
              <w:t>☑</w:t>
            </w:r>
            <w:r>
              <w:rPr>
                <w:rFonts w:hint="eastAsia" w:ascii="仿宋" w:hAnsi="仿宋" w:eastAsia="仿宋" w:cs="仿宋"/>
                <w:szCs w:val="24"/>
              </w:rPr>
              <w:t>要求，</w:t>
            </w:r>
            <w:r>
              <w:rPr>
                <w:rFonts w:hint="eastAsia" w:ascii="仿宋" w:hAnsi="仿宋" w:eastAsia="仿宋" w:cs="仿宋"/>
                <w:szCs w:val="24"/>
                <w:lang w:val="en-US" w:eastAsia="zh-CN"/>
              </w:rPr>
              <w:t>具体如下：</w:t>
            </w:r>
          </w:p>
          <w:p w14:paraId="3A501909">
            <w:pPr>
              <w:pStyle w:val="10"/>
              <w:keepNext w:val="0"/>
              <w:keepLines w:val="0"/>
              <w:pageBreakBefore w:val="0"/>
              <w:widowControl w:val="0"/>
              <w:kinsoku/>
              <w:wordWrap/>
              <w:overflowPunct/>
              <w:topLinePunct/>
              <w:autoSpaceDE/>
              <w:autoSpaceDN/>
              <w:bidi w:val="0"/>
              <w:adjustRightInd/>
              <w:spacing w:line="400" w:lineRule="exact"/>
              <w:ind w:firstLine="0" w:firstLineChars="0"/>
              <w:jc w:val="left"/>
              <w:textAlignment w:val="auto"/>
              <w:rPr>
                <w:rFonts w:ascii="Times New Roman" w:hAnsi="Times New Roman" w:eastAsia="仿宋" w:cs="Times New Roman"/>
                <w:szCs w:val="24"/>
              </w:rPr>
            </w:pPr>
            <w:r>
              <w:rPr>
                <w:rFonts w:hint="eastAsia" w:ascii="仿宋" w:hAnsi="仿宋" w:eastAsia="仿宋" w:cs="仿宋"/>
                <w:szCs w:val="24"/>
                <w:lang w:val="en-US" w:eastAsia="zh-CN"/>
              </w:rPr>
              <w:t>响应</w:t>
            </w:r>
            <w:r>
              <w:rPr>
                <w:rFonts w:ascii="Times New Roman" w:hAnsi="Times New Roman" w:eastAsia="仿宋" w:cs="Times New Roman"/>
                <w:szCs w:val="24"/>
              </w:rPr>
              <w:t>保证金的形式：</w:t>
            </w:r>
          </w:p>
          <w:p w14:paraId="068EDD0F">
            <w:pPr>
              <w:pStyle w:val="10"/>
              <w:keepNext w:val="0"/>
              <w:keepLines w:val="0"/>
              <w:pageBreakBefore w:val="0"/>
              <w:widowControl w:val="0"/>
              <w:kinsoku/>
              <w:wordWrap/>
              <w:overflowPunct/>
              <w:topLinePunct/>
              <w:autoSpaceDE/>
              <w:autoSpaceDN/>
              <w:bidi w:val="0"/>
              <w:adjustRightInd/>
              <w:snapToGrid w:val="0"/>
              <w:ind w:firstLine="0" w:firstLineChars="0"/>
              <w:textAlignment w:val="auto"/>
              <w:rPr>
                <w:rFonts w:hint="default" w:ascii="Times New Roman" w:hAnsi="Times New Roman" w:eastAsia="仿宋" w:cs="Times New Roman"/>
                <w:bCs w:val="0"/>
                <w:szCs w:val="24"/>
              </w:rPr>
            </w:pPr>
            <w:r>
              <w:rPr>
                <w:rFonts w:hint="default" w:ascii="Times New Roman" w:hAnsi="Times New Roman" w:eastAsia="仿宋" w:cs="Times New Roman"/>
                <w:bCs w:val="0"/>
                <w:szCs w:val="24"/>
              </w:rPr>
              <w:t>1、保证金的形式：转账</w:t>
            </w:r>
          </w:p>
          <w:p w14:paraId="550C0242">
            <w:pPr>
              <w:pStyle w:val="10"/>
              <w:keepNext w:val="0"/>
              <w:keepLines w:val="0"/>
              <w:pageBreakBefore w:val="0"/>
              <w:widowControl w:val="0"/>
              <w:kinsoku/>
              <w:wordWrap/>
              <w:overflowPunct/>
              <w:topLinePunct/>
              <w:autoSpaceDE/>
              <w:autoSpaceDN/>
              <w:bidi w:val="0"/>
              <w:adjustRightInd/>
              <w:snapToGrid w:val="0"/>
              <w:ind w:firstLine="0" w:firstLineChars="0"/>
              <w:textAlignment w:val="auto"/>
              <w:rPr>
                <w:rFonts w:hint="default" w:ascii="Times New Roman" w:hAnsi="Times New Roman" w:eastAsia="仿宋" w:cs="Times New Roman"/>
                <w:bCs w:val="0"/>
                <w:szCs w:val="24"/>
              </w:rPr>
            </w:pPr>
            <w:r>
              <w:rPr>
                <w:rFonts w:hint="default" w:ascii="Times New Roman" w:hAnsi="Times New Roman" w:eastAsia="仿宋" w:cs="Times New Roman"/>
                <w:bCs w:val="0"/>
                <w:szCs w:val="24"/>
              </w:rPr>
              <w:t>2、保证金的金额：3000元整；</w:t>
            </w:r>
          </w:p>
          <w:p w14:paraId="3D6C9419">
            <w:pPr>
              <w:pStyle w:val="10"/>
              <w:keepNext w:val="0"/>
              <w:keepLines w:val="0"/>
              <w:pageBreakBefore w:val="0"/>
              <w:widowControl w:val="0"/>
              <w:kinsoku/>
              <w:wordWrap/>
              <w:overflowPunct/>
              <w:topLinePunct/>
              <w:autoSpaceDE/>
              <w:autoSpaceDN/>
              <w:bidi w:val="0"/>
              <w:adjustRightInd/>
              <w:snapToGrid w:val="0"/>
              <w:ind w:firstLine="0" w:firstLineChars="0"/>
              <w:textAlignment w:val="auto"/>
              <w:rPr>
                <w:rFonts w:hint="default" w:ascii="Times New Roman" w:hAnsi="Times New Roman" w:eastAsia="仿宋" w:cs="Times New Roman"/>
                <w:bCs w:val="0"/>
                <w:szCs w:val="24"/>
              </w:rPr>
            </w:pPr>
            <w:r>
              <w:rPr>
                <w:rFonts w:hint="default" w:ascii="Times New Roman" w:hAnsi="Times New Roman" w:eastAsia="仿宋" w:cs="Times New Roman"/>
                <w:bCs w:val="0"/>
                <w:szCs w:val="24"/>
              </w:rPr>
              <w:t>3、递交要求：</w:t>
            </w:r>
          </w:p>
          <w:p w14:paraId="7F9B5C9F">
            <w:pPr>
              <w:pStyle w:val="10"/>
              <w:keepNext w:val="0"/>
              <w:keepLines w:val="0"/>
              <w:pageBreakBefore w:val="0"/>
              <w:widowControl w:val="0"/>
              <w:kinsoku/>
              <w:wordWrap/>
              <w:overflowPunct/>
              <w:topLinePunct/>
              <w:autoSpaceDE/>
              <w:autoSpaceDN/>
              <w:bidi w:val="0"/>
              <w:adjustRightInd/>
              <w:snapToGrid w:val="0"/>
              <w:ind w:firstLine="0" w:firstLineChars="0"/>
              <w:textAlignment w:val="auto"/>
              <w:rPr>
                <w:rFonts w:hint="default" w:ascii="Times New Roman" w:hAnsi="Times New Roman" w:eastAsia="仿宋" w:cs="Times New Roman"/>
                <w:bCs w:val="0"/>
                <w:szCs w:val="24"/>
              </w:rPr>
            </w:pPr>
            <w:r>
              <w:rPr>
                <w:rFonts w:hint="default" w:ascii="Times New Roman" w:hAnsi="Times New Roman" w:eastAsia="仿宋" w:cs="Times New Roman"/>
                <w:bCs w:val="0"/>
                <w:szCs w:val="24"/>
              </w:rPr>
              <w:t>①保证金的到账截止时间：响应截止时间。</w:t>
            </w:r>
          </w:p>
          <w:p w14:paraId="3C73BB61">
            <w:pPr>
              <w:pStyle w:val="10"/>
              <w:keepNext w:val="0"/>
              <w:keepLines w:val="0"/>
              <w:pageBreakBefore w:val="0"/>
              <w:widowControl w:val="0"/>
              <w:kinsoku/>
              <w:wordWrap/>
              <w:overflowPunct/>
              <w:topLinePunct/>
              <w:autoSpaceDE/>
              <w:autoSpaceDN/>
              <w:bidi w:val="0"/>
              <w:adjustRightInd/>
              <w:snapToGrid w:val="0"/>
              <w:ind w:firstLine="0" w:firstLineChars="0"/>
              <w:textAlignment w:val="auto"/>
              <w:rPr>
                <w:rFonts w:hint="default" w:ascii="Times New Roman" w:hAnsi="Times New Roman" w:eastAsia="仿宋" w:cs="Times New Roman"/>
                <w:bCs w:val="0"/>
                <w:szCs w:val="24"/>
              </w:rPr>
            </w:pPr>
            <w:r>
              <w:rPr>
                <w:rFonts w:hint="default" w:ascii="Times New Roman" w:hAnsi="Times New Roman" w:eastAsia="仿宋" w:cs="Times New Roman"/>
                <w:bCs w:val="0"/>
                <w:szCs w:val="24"/>
              </w:rPr>
              <w:t>②保证金应当从供应商账户转出，供应商单位名称发生变更时，应及时更新电子交易系统内的注册信息。</w:t>
            </w:r>
          </w:p>
          <w:p w14:paraId="1F7555CF">
            <w:pPr>
              <w:pStyle w:val="10"/>
              <w:keepNext w:val="0"/>
              <w:keepLines w:val="0"/>
              <w:pageBreakBefore w:val="0"/>
              <w:widowControl w:val="0"/>
              <w:kinsoku/>
              <w:wordWrap/>
              <w:overflowPunct/>
              <w:topLinePunct/>
              <w:autoSpaceDE/>
              <w:autoSpaceDN/>
              <w:bidi w:val="0"/>
              <w:adjustRightInd/>
              <w:snapToGrid w:val="0"/>
              <w:ind w:firstLine="0" w:firstLineChars="0"/>
              <w:textAlignment w:val="auto"/>
              <w:rPr>
                <w:rFonts w:hint="default" w:ascii="Times New Roman" w:hAnsi="Times New Roman" w:eastAsia="仿宋" w:cs="Times New Roman"/>
                <w:bCs w:val="0"/>
                <w:szCs w:val="24"/>
              </w:rPr>
            </w:pPr>
            <w:r>
              <w:rPr>
                <w:rFonts w:hint="default" w:ascii="Times New Roman" w:hAnsi="Times New Roman" w:eastAsia="仿宋" w:cs="Times New Roman"/>
                <w:bCs w:val="0"/>
                <w:szCs w:val="24"/>
              </w:rPr>
              <w:t>③转入的开户银行及账号如下所示：</w:t>
            </w:r>
          </w:p>
          <w:p w14:paraId="0E3D855E">
            <w:pPr>
              <w:pStyle w:val="10"/>
              <w:keepNext w:val="0"/>
              <w:keepLines w:val="0"/>
              <w:pageBreakBefore w:val="0"/>
              <w:widowControl w:val="0"/>
              <w:kinsoku/>
              <w:wordWrap/>
              <w:overflowPunct/>
              <w:topLinePunct/>
              <w:autoSpaceDE/>
              <w:autoSpaceDN/>
              <w:bidi w:val="0"/>
              <w:adjustRightInd/>
              <w:snapToGrid w:val="0"/>
              <w:ind w:firstLine="0" w:firstLineChars="0"/>
              <w:textAlignment w:val="auto"/>
              <w:rPr>
                <w:rFonts w:hint="default" w:ascii="Times New Roman" w:hAnsi="Times New Roman" w:eastAsia="仿宋" w:cs="Times New Roman"/>
                <w:bCs w:val="0"/>
                <w:szCs w:val="24"/>
              </w:rPr>
            </w:pPr>
            <w:r>
              <w:rPr>
                <w:rFonts w:hint="default" w:ascii="Times New Roman" w:hAnsi="Times New Roman" w:eastAsia="仿宋" w:cs="Times New Roman"/>
                <w:bCs w:val="0"/>
                <w:szCs w:val="24"/>
              </w:rPr>
              <w:t>户　　名：安徽省招标集团股份有限公司</w:t>
            </w:r>
          </w:p>
          <w:p w14:paraId="40F7180D">
            <w:pPr>
              <w:pStyle w:val="10"/>
              <w:keepNext w:val="0"/>
              <w:keepLines w:val="0"/>
              <w:pageBreakBefore w:val="0"/>
              <w:widowControl w:val="0"/>
              <w:kinsoku/>
              <w:wordWrap/>
              <w:overflowPunct/>
              <w:topLinePunct/>
              <w:autoSpaceDE/>
              <w:autoSpaceDN/>
              <w:bidi w:val="0"/>
              <w:adjustRightInd/>
              <w:snapToGrid w:val="0"/>
              <w:ind w:firstLine="0" w:firstLineChars="0"/>
              <w:textAlignment w:val="auto"/>
              <w:rPr>
                <w:rFonts w:hint="default" w:ascii="Times New Roman" w:hAnsi="Times New Roman" w:eastAsia="仿宋" w:cs="Times New Roman"/>
                <w:bCs w:val="0"/>
                <w:szCs w:val="24"/>
              </w:rPr>
            </w:pPr>
            <w:r>
              <w:rPr>
                <w:rFonts w:hint="default" w:ascii="Times New Roman" w:hAnsi="Times New Roman" w:eastAsia="仿宋" w:cs="Times New Roman"/>
                <w:bCs w:val="0"/>
                <w:szCs w:val="24"/>
              </w:rPr>
              <w:t>开户银行：平安银行股份有限公司合肥分行</w:t>
            </w:r>
          </w:p>
          <w:p w14:paraId="24916822">
            <w:pPr>
              <w:pStyle w:val="10"/>
              <w:topLinePunct/>
              <w:snapToGrid w:val="0"/>
              <w:rPr>
                <w:rFonts w:hint="eastAsia" w:ascii="仿宋" w:hAnsi="仿宋" w:eastAsia="仿宋" w:cs="仿宋"/>
                <w:sz w:val="24"/>
                <w:szCs w:val="24"/>
              </w:rPr>
            </w:pPr>
            <w:r>
              <w:rPr>
                <w:rFonts w:hint="default" w:ascii="Times New Roman" w:hAnsi="Times New Roman" w:eastAsia="仿宋" w:cs="Times New Roman"/>
                <w:bCs w:val="0"/>
                <w:szCs w:val="24"/>
              </w:rPr>
              <w:t>账　　号：</w:t>
            </w:r>
            <w:r>
              <w:rPr>
                <w:rFonts w:hint="default" w:ascii="Times New Roman" w:hAnsi="Times New Roman" w:eastAsia="仿宋" w:cs="Times New Roman"/>
                <w:b/>
                <w:bCs/>
                <w:szCs w:val="24"/>
                <w:highlight w:val="yellow"/>
              </w:rPr>
              <w:t>30203448054868</w:t>
            </w:r>
            <w:r>
              <w:rPr>
                <w:rFonts w:hint="eastAsia" w:ascii="仿宋" w:hAnsi="仿宋" w:eastAsia="仿宋" w:cs="仿宋"/>
                <w:b/>
                <w:bCs/>
                <w:sz w:val="24"/>
                <w:szCs w:val="24"/>
                <w:highlight w:val="yellow"/>
              </w:rPr>
              <w:t xml:space="preserve">  </w:t>
            </w:r>
            <w:r>
              <w:rPr>
                <w:rFonts w:hint="eastAsia" w:ascii="仿宋" w:hAnsi="仿宋" w:eastAsia="仿宋" w:cs="仿宋"/>
                <w:sz w:val="24"/>
                <w:szCs w:val="24"/>
              </w:rPr>
              <w:t xml:space="preserve">              </w:t>
            </w:r>
          </w:p>
        </w:tc>
      </w:tr>
      <w:tr w14:paraId="04DD0EB9">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12B66898">
            <w:pPr>
              <w:snapToGrid w:val="0"/>
              <w:jc w:val="center"/>
              <w:rPr>
                <w:rFonts w:hint="eastAsia" w:ascii="仿宋" w:hAnsi="仿宋" w:eastAsia="仿宋" w:cs="仿宋"/>
                <w:sz w:val="24"/>
                <w:szCs w:val="24"/>
              </w:rPr>
            </w:pPr>
            <w:r>
              <w:rPr>
                <w:rFonts w:hint="eastAsia" w:ascii="仿宋" w:hAnsi="仿宋" w:eastAsia="仿宋" w:cs="仿宋"/>
                <w:sz w:val="24"/>
                <w:szCs w:val="24"/>
              </w:rPr>
              <w:t>3.4.2</w:t>
            </w:r>
          </w:p>
        </w:tc>
        <w:tc>
          <w:tcPr>
            <w:tcW w:w="3211" w:type="dxa"/>
            <w:tcBorders>
              <w:top w:val="single" w:color="auto" w:sz="4" w:space="0"/>
              <w:left w:val="single" w:color="auto" w:sz="4" w:space="0"/>
              <w:bottom w:val="single" w:color="auto" w:sz="4" w:space="0"/>
              <w:right w:val="single" w:color="auto" w:sz="4" w:space="0"/>
            </w:tcBorders>
            <w:vAlign w:val="center"/>
          </w:tcPr>
          <w:p w14:paraId="32037C47">
            <w:pPr>
              <w:snapToGrid w:val="0"/>
              <w:jc w:val="center"/>
              <w:rPr>
                <w:rFonts w:hint="eastAsia" w:ascii="仿宋" w:hAnsi="仿宋" w:eastAsia="仿宋" w:cs="仿宋"/>
                <w:sz w:val="24"/>
                <w:szCs w:val="24"/>
              </w:rPr>
            </w:pPr>
            <w:r>
              <w:rPr>
                <w:rFonts w:hint="eastAsia" w:ascii="仿宋" w:hAnsi="仿宋" w:eastAsia="仿宋" w:cs="仿宋"/>
                <w:sz w:val="24"/>
                <w:szCs w:val="24"/>
              </w:rPr>
              <w:t>退还响应保证金的时间</w:t>
            </w:r>
          </w:p>
        </w:tc>
        <w:tc>
          <w:tcPr>
            <w:tcW w:w="4536" w:type="dxa"/>
            <w:tcBorders>
              <w:top w:val="single" w:color="auto" w:sz="4" w:space="0"/>
              <w:left w:val="single" w:color="auto" w:sz="4" w:space="0"/>
              <w:bottom w:val="single" w:color="auto" w:sz="4" w:space="0"/>
              <w:right w:val="single" w:color="auto" w:sz="4" w:space="0"/>
            </w:tcBorders>
            <w:vAlign w:val="center"/>
          </w:tcPr>
          <w:p w14:paraId="1877A9B5">
            <w:pPr>
              <w:snapToGrid w:val="0"/>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成交通知书发布后7个工作日内。原额退还响应保证金。</w:t>
            </w:r>
          </w:p>
        </w:tc>
      </w:tr>
      <w:tr w14:paraId="1B77CBB3">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573F3F36">
            <w:pPr>
              <w:snapToGrid w:val="0"/>
              <w:jc w:val="center"/>
              <w:rPr>
                <w:rFonts w:hint="eastAsia" w:ascii="仿宋" w:hAnsi="仿宋" w:eastAsia="仿宋" w:cs="仿宋"/>
                <w:sz w:val="24"/>
                <w:szCs w:val="24"/>
              </w:rPr>
            </w:pPr>
            <w:r>
              <w:rPr>
                <w:rFonts w:hint="eastAsia" w:ascii="仿宋" w:hAnsi="仿宋" w:eastAsia="仿宋" w:cs="仿宋"/>
                <w:sz w:val="24"/>
                <w:szCs w:val="24"/>
              </w:rPr>
              <w:t>3.4.3（3）</w:t>
            </w:r>
          </w:p>
        </w:tc>
        <w:tc>
          <w:tcPr>
            <w:tcW w:w="3211" w:type="dxa"/>
            <w:tcBorders>
              <w:top w:val="single" w:color="auto" w:sz="4" w:space="0"/>
              <w:left w:val="single" w:color="auto" w:sz="4" w:space="0"/>
              <w:bottom w:val="single" w:color="auto" w:sz="4" w:space="0"/>
              <w:right w:val="single" w:color="auto" w:sz="4" w:space="0"/>
            </w:tcBorders>
            <w:vAlign w:val="center"/>
          </w:tcPr>
          <w:p w14:paraId="23C29F3C">
            <w:pPr>
              <w:snapToGrid w:val="0"/>
              <w:jc w:val="center"/>
              <w:rPr>
                <w:rFonts w:hint="eastAsia" w:ascii="仿宋" w:hAnsi="仿宋" w:eastAsia="仿宋" w:cs="仿宋"/>
                <w:sz w:val="24"/>
                <w:szCs w:val="24"/>
              </w:rPr>
            </w:pPr>
            <w:r>
              <w:rPr>
                <w:rFonts w:hint="eastAsia" w:ascii="仿宋" w:hAnsi="仿宋" w:eastAsia="仿宋" w:cs="仿宋"/>
                <w:sz w:val="24"/>
                <w:szCs w:val="24"/>
              </w:rPr>
              <w:t>不退还响应保证金的其他情形</w:t>
            </w:r>
          </w:p>
        </w:tc>
        <w:tc>
          <w:tcPr>
            <w:tcW w:w="4536" w:type="dxa"/>
            <w:tcBorders>
              <w:top w:val="single" w:color="auto" w:sz="4" w:space="0"/>
              <w:left w:val="single" w:color="auto" w:sz="4" w:space="0"/>
              <w:bottom w:val="single" w:color="auto" w:sz="4" w:space="0"/>
              <w:right w:val="single" w:color="auto" w:sz="4" w:space="0"/>
            </w:tcBorders>
            <w:vAlign w:val="center"/>
          </w:tcPr>
          <w:p w14:paraId="23BA9E78">
            <w:pPr>
              <w:topLinePunct/>
              <w:snapToGrid w:val="0"/>
              <w:jc w:val="left"/>
              <w:rPr>
                <w:rFonts w:hint="eastAsia" w:ascii="仿宋" w:hAnsi="仿宋" w:eastAsia="仿宋" w:cs="仿宋"/>
                <w:sz w:val="24"/>
                <w:szCs w:val="24"/>
              </w:rPr>
            </w:pPr>
            <w:r>
              <w:rPr>
                <w:rFonts w:hint="eastAsia" w:ascii="仿宋" w:hAnsi="仿宋" w:eastAsia="仿宋" w:cs="仿宋"/>
                <w:sz w:val="24"/>
                <w:szCs w:val="24"/>
              </w:rPr>
              <w:t>1、未按采购文件要求交纳代理服务费的；</w:t>
            </w:r>
          </w:p>
          <w:p w14:paraId="4F947059">
            <w:pPr>
              <w:topLinePunct/>
              <w:snapToGrid w:val="0"/>
              <w:jc w:val="left"/>
              <w:rPr>
                <w:rFonts w:hint="eastAsia" w:ascii="仿宋" w:hAnsi="仿宋" w:eastAsia="仿宋" w:cs="仿宋"/>
                <w:sz w:val="24"/>
                <w:szCs w:val="24"/>
              </w:rPr>
            </w:pPr>
            <w:r>
              <w:rPr>
                <w:rFonts w:hint="eastAsia" w:ascii="仿宋" w:hAnsi="仿宋" w:eastAsia="仿宋" w:cs="仿宋"/>
                <w:sz w:val="24"/>
                <w:szCs w:val="24"/>
              </w:rPr>
              <w:t>2、已被证实在本项目投标中存在弄虚作假或围标、串标等违法情形的；</w:t>
            </w:r>
          </w:p>
          <w:p w14:paraId="4A037D0F">
            <w:pPr>
              <w:topLinePunct/>
              <w:snapToGrid w:val="0"/>
              <w:jc w:val="left"/>
              <w:rPr>
                <w:rFonts w:hint="eastAsia" w:ascii="仿宋" w:hAnsi="仿宋" w:eastAsia="仿宋" w:cs="仿宋"/>
                <w:sz w:val="24"/>
                <w:szCs w:val="24"/>
              </w:rPr>
            </w:pPr>
            <w:r>
              <w:rPr>
                <w:rFonts w:hint="eastAsia" w:ascii="仿宋" w:hAnsi="仿宋" w:eastAsia="仿宋" w:cs="仿宋"/>
                <w:sz w:val="24"/>
                <w:szCs w:val="24"/>
              </w:rPr>
              <w:t>3、成交候选人无正当理由放弃成交项目资格的。</w:t>
            </w:r>
          </w:p>
        </w:tc>
      </w:tr>
      <w:tr w14:paraId="67DAB7B0">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6D25152C">
            <w:pPr>
              <w:snapToGrid w:val="0"/>
              <w:jc w:val="center"/>
              <w:rPr>
                <w:rFonts w:hint="eastAsia" w:ascii="仿宋" w:hAnsi="仿宋" w:eastAsia="仿宋" w:cs="仿宋"/>
                <w:sz w:val="24"/>
                <w:szCs w:val="24"/>
              </w:rPr>
            </w:pPr>
            <w:r>
              <w:rPr>
                <w:rFonts w:hint="eastAsia" w:ascii="仿宋" w:hAnsi="仿宋" w:eastAsia="仿宋" w:cs="仿宋"/>
                <w:sz w:val="24"/>
                <w:szCs w:val="24"/>
              </w:rPr>
              <w:t>3.6.1</w:t>
            </w:r>
          </w:p>
        </w:tc>
        <w:tc>
          <w:tcPr>
            <w:tcW w:w="3211" w:type="dxa"/>
            <w:tcBorders>
              <w:top w:val="single" w:color="auto" w:sz="4" w:space="0"/>
              <w:left w:val="single" w:color="auto" w:sz="4" w:space="0"/>
              <w:bottom w:val="single" w:color="auto" w:sz="4" w:space="0"/>
              <w:right w:val="single" w:color="auto" w:sz="4" w:space="0"/>
            </w:tcBorders>
            <w:vAlign w:val="center"/>
          </w:tcPr>
          <w:p w14:paraId="28CC53AC">
            <w:pPr>
              <w:snapToGrid w:val="0"/>
              <w:jc w:val="left"/>
              <w:rPr>
                <w:rFonts w:hint="eastAsia" w:ascii="仿宋" w:hAnsi="仿宋" w:eastAsia="仿宋" w:cs="仿宋"/>
                <w:sz w:val="24"/>
                <w:szCs w:val="24"/>
              </w:rPr>
            </w:pPr>
            <w:r>
              <w:rPr>
                <w:rFonts w:hint="eastAsia" w:ascii="仿宋" w:hAnsi="仿宋" w:eastAsia="仿宋" w:cs="仿宋"/>
                <w:color w:val="000000"/>
                <w:sz w:val="24"/>
                <w:szCs w:val="24"/>
              </w:rPr>
              <w:t>对关键条款进行响应的证据或证明材料要求</w:t>
            </w:r>
          </w:p>
        </w:tc>
        <w:tc>
          <w:tcPr>
            <w:tcW w:w="4536" w:type="dxa"/>
            <w:tcBorders>
              <w:top w:val="single" w:color="auto" w:sz="4" w:space="0"/>
              <w:left w:val="single" w:color="auto" w:sz="4" w:space="0"/>
              <w:bottom w:val="single" w:color="auto" w:sz="4" w:space="0"/>
              <w:right w:val="single" w:color="auto" w:sz="4" w:space="0"/>
            </w:tcBorders>
            <w:vAlign w:val="center"/>
          </w:tcPr>
          <w:p w14:paraId="77B97CC4">
            <w:pPr>
              <w:numPr>
                <w:ilvl w:val="255"/>
                <w:numId w:val="0"/>
              </w:numPr>
              <w:topLinePunct/>
              <w:snapToGrid w:val="0"/>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见询比采购文件第五章“服务需求”</w:t>
            </w:r>
          </w:p>
        </w:tc>
      </w:tr>
      <w:tr w14:paraId="7310EA39">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5DC1D947">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3.7.4</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center"/>
          </w:tcPr>
          <w:p w14:paraId="66A542DF">
            <w:pPr>
              <w:snapToGrid w:val="0"/>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响应文件份数及电子版要求</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66628DE6">
            <w:pPr>
              <w:pStyle w:val="51"/>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响应文件正本</w:t>
            </w:r>
            <w:r>
              <w:rPr>
                <w:rFonts w:hint="eastAsia" w:ascii="仿宋" w:hAnsi="仿宋" w:eastAsia="仿宋" w:cs="仿宋"/>
                <w:sz w:val="24"/>
                <w:szCs w:val="24"/>
                <w:u w:val="single"/>
              </w:rPr>
              <w:t xml:space="preserve"> 1 </w:t>
            </w:r>
            <w:r>
              <w:rPr>
                <w:rFonts w:hint="eastAsia" w:ascii="仿宋" w:hAnsi="仿宋" w:eastAsia="仿宋" w:cs="仿宋"/>
                <w:sz w:val="24"/>
                <w:szCs w:val="24"/>
              </w:rPr>
              <w:t>份，副本</w:t>
            </w:r>
            <w:r>
              <w:rPr>
                <w:rFonts w:hint="eastAsia" w:ascii="仿宋" w:hAnsi="仿宋" w:eastAsia="仿宋" w:cs="仿宋"/>
                <w:sz w:val="24"/>
                <w:szCs w:val="24"/>
                <w:u w:val="single"/>
              </w:rPr>
              <w:t xml:space="preserve"> 2 </w:t>
            </w:r>
            <w:r>
              <w:rPr>
                <w:rFonts w:hint="eastAsia" w:ascii="仿宋" w:hAnsi="仿宋" w:eastAsia="仿宋" w:cs="仿宋"/>
                <w:sz w:val="24"/>
                <w:szCs w:val="24"/>
              </w:rPr>
              <w:t>份</w:t>
            </w:r>
          </w:p>
          <w:p w14:paraId="6C5DB78F">
            <w:pPr>
              <w:pStyle w:val="51"/>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是否要求提供电子版响应文件：</w:t>
            </w:r>
          </w:p>
          <w:p w14:paraId="25032104">
            <w:pPr>
              <w:pStyle w:val="51"/>
              <w:spacing w:line="360" w:lineRule="auto"/>
              <w:ind w:firstLine="0" w:firstLineChars="0"/>
              <w:rPr>
                <w:rFonts w:hint="eastAsia" w:ascii="仿宋" w:hAnsi="仿宋" w:eastAsia="仿宋" w:cs="仿宋"/>
                <w:sz w:val="24"/>
                <w:szCs w:val="24"/>
              </w:rPr>
            </w:pPr>
            <w:r>
              <w:rPr>
                <w:rFonts w:ascii="Times New Roman" w:hAnsi="Times New Roman" w:eastAsia="宋体"/>
                <w:color w:val="auto"/>
                <w:highlight w:val="none"/>
              </w:rPr>
              <w:sym w:font="Wingdings 2" w:char="00A3"/>
            </w:r>
            <w:r>
              <w:rPr>
                <w:rFonts w:hint="eastAsia" w:ascii="仿宋" w:hAnsi="仿宋" w:eastAsia="仿宋" w:cs="仿宋"/>
                <w:sz w:val="24"/>
                <w:szCs w:val="24"/>
              </w:rPr>
              <w:t>不要求</w:t>
            </w:r>
          </w:p>
          <w:p w14:paraId="1D6831CE">
            <w:pPr>
              <w:pStyle w:val="51"/>
              <w:spacing w:line="360" w:lineRule="auto"/>
              <w:ind w:firstLine="0" w:firstLineChars="0"/>
              <w:rPr>
                <w:rFonts w:hint="eastAsia" w:ascii="仿宋" w:hAnsi="仿宋" w:eastAsia="仿宋" w:cs="仿宋"/>
                <w:sz w:val="24"/>
                <w:szCs w:val="24"/>
              </w:rPr>
            </w:pPr>
            <w:r>
              <w:rPr>
                <w:rFonts w:ascii="Times New Roman" w:hAnsi="Times New Roman" w:eastAsia="宋体"/>
                <w:color w:val="auto"/>
                <w:highlight w:val="none"/>
              </w:rPr>
              <w:sym w:font="Wingdings 2" w:char="0052"/>
            </w:r>
            <w:r>
              <w:rPr>
                <w:rFonts w:hint="eastAsia" w:ascii="仿宋" w:hAnsi="仿宋" w:eastAsia="仿宋" w:cs="仿宋"/>
                <w:sz w:val="24"/>
                <w:szCs w:val="24"/>
              </w:rPr>
              <w:t xml:space="preserve">要求，提供电子版响应文件的形式： U盘 </w:t>
            </w:r>
          </w:p>
          <w:p w14:paraId="20C74FA2">
            <w:pPr>
              <w:pStyle w:val="51"/>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应在</w:t>
            </w:r>
            <w:r>
              <w:rPr>
                <w:rFonts w:hint="eastAsia" w:ascii="仿宋" w:hAnsi="仿宋" w:eastAsia="仿宋" w:cs="仿宋"/>
                <w:sz w:val="24"/>
                <w:szCs w:val="24"/>
                <w:lang w:val="en-US" w:eastAsia="zh-CN"/>
              </w:rPr>
              <w:t>响应</w:t>
            </w:r>
            <w:r>
              <w:rPr>
                <w:rFonts w:hint="eastAsia" w:ascii="仿宋" w:hAnsi="仿宋" w:eastAsia="仿宋" w:cs="仿宋"/>
                <w:sz w:val="24"/>
                <w:szCs w:val="24"/>
              </w:rPr>
              <w:t>文件递交的截止时间前在</w:t>
            </w:r>
            <w:r>
              <w:rPr>
                <w:rFonts w:hint="eastAsia" w:ascii="仿宋" w:hAnsi="仿宋" w:eastAsia="仿宋" w:cs="仿宋"/>
                <w:sz w:val="24"/>
                <w:szCs w:val="24"/>
                <w:lang w:val="en-US" w:eastAsia="zh-CN"/>
              </w:rPr>
              <w:t>响应文件开启</w:t>
            </w:r>
            <w:r>
              <w:rPr>
                <w:rFonts w:hint="eastAsia" w:ascii="仿宋" w:hAnsi="仿宋" w:eastAsia="仿宋" w:cs="仿宋"/>
                <w:sz w:val="24"/>
                <w:szCs w:val="24"/>
              </w:rPr>
              <w:t>地点递交，并提供以下证明材料，否则</w:t>
            </w:r>
            <w:r>
              <w:rPr>
                <w:rFonts w:hint="eastAsia" w:ascii="仿宋" w:hAnsi="仿宋" w:eastAsia="仿宋" w:cs="仿宋"/>
                <w:sz w:val="24"/>
                <w:szCs w:val="24"/>
                <w:lang w:val="en-US" w:eastAsia="zh-CN"/>
              </w:rPr>
              <w:t>采购</w:t>
            </w:r>
            <w:r>
              <w:rPr>
                <w:rFonts w:hint="eastAsia" w:ascii="仿宋" w:hAnsi="仿宋" w:eastAsia="仿宋" w:cs="仿宋"/>
                <w:sz w:val="24"/>
                <w:szCs w:val="24"/>
              </w:rPr>
              <w:t>人不予接收。</w:t>
            </w:r>
          </w:p>
          <w:p w14:paraId="43FFB042">
            <w:pPr>
              <w:pStyle w:val="51"/>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（1）法定代表人亲自递交的，应提供法定代表人身份证明和法定代表人的有效身份证件；</w:t>
            </w:r>
          </w:p>
          <w:p w14:paraId="6685596B">
            <w:pPr>
              <w:pStyle w:val="51"/>
              <w:spacing w:line="360" w:lineRule="auto"/>
              <w:ind w:firstLine="0" w:firstLineChars="0"/>
              <w:rPr>
                <w:rFonts w:hint="eastAsia" w:ascii="仿宋" w:hAnsi="仿宋" w:eastAsia="仿宋" w:cs="仿宋"/>
                <w:color w:val="0000FF"/>
                <w:kern w:val="2"/>
                <w:sz w:val="24"/>
                <w:szCs w:val="24"/>
                <w:lang w:val="en-US" w:eastAsia="zh-CN" w:bidi="ar-SA"/>
              </w:rPr>
            </w:pPr>
            <w:r>
              <w:rPr>
                <w:rFonts w:hint="eastAsia" w:ascii="仿宋" w:hAnsi="仿宋" w:eastAsia="仿宋" w:cs="仿宋"/>
                <w:sz w:val="24"/>
                <w:szCs w:val="24"/>
              </w:rPr>
              <w:t>（2）委托代理人递交的，应提供授权委托书和委托代理人的有效身份证件。</w:t>
            </w:r>
          </w:p>
        </w:tc>
      </w:tr>
      <w:tr w14:paraId="506CE308">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1058BC5A">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3.7.5</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center"/>
          </w:tcPr>
          <w:p w14:paraId="79E9A65E">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分册装订要求</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501CB15B">
            <w:pPr>
              <w:snapToGrid w:val="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无</w:t>
            </w:r>
          </w:p>
        </w:tc>
      </w:tr>
      <w:tr w14:paraId="5A40E939">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5F810EB2">
            <w:pPr>
              <w:pStyle w:val="51"/>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4.1.2</w:t>
            </w:r>
          </w:p>
        </w:tc>
        <w:tc>
          <w:tcPr>
            <w:tcW w:w="3211" w:type="dxa"/>
            <w:tcBorders>
              <w:top w:val="single" w:color="auto" w:sz="4" w:space="0"/>
              <w:left w:val="single" w:color="auto" w:sz="4" w:space="0"/>
              <w:bottom w:val="single" w:color="auto" w:sz="4" w:space="0"/>
              <w:right w:val="single" w:color="auto" w:sz="4" w:space="0"/>
            </w:tcBorders>
            <w:vAlign w:val="center"/>
          </w:tcPr>
          <w:p w14:paraId="0EEEC190">
            <w:pPr>
              <w:pStyle w:val="51"/>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响应</w:t>
            </w:r>
            <w:r>
              <w:rPr>
                <w:rFonts w:hint="eastAsia" w:ascii="仿宋" w:hAnsi="仿宋" w:eastAsia="仿宋" w:cs="仿宋"/>
                <w:sz w:val="24"/>
                <w:szCs w:val="24"/>
              </w:rPr>
              <w:t>文件密封和标记要求</w:t>
            </w:r>
          </w:p>
        </w:tc>
        <w:tc>
          <w:tcPr>
            <w:tcW w:w="4536" w:type="dxa"/>
            <w:tcBorders>
              <w:top w:val="single" w:color="auto" w:sz="4" w:space="0"/>
              <w:left w:val="single" w:color="auto" w:sz="4" w:space="0"/>
              <w:bottom w:val="single" w:color="auto" w:sz="4" w:space="0"/>
              <w:right w:val="single" w:color="auto" w:sz="4" w:space="0"/>
            </w:tcBorders>
            <w:vAlign w:val="center"/>
          </w:tcPr>
          <w:p w14:paraId="3207D7E6">
            <w:pPr>
              <w:pStyle w:val="51"/>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w:t>
            </w:r>
            <w:r>
              <w:rPr>
                <w:rFonts w:hint="eastAsia" w:ascii="Times New Roman" w:hAnsi="Times New Roman" w:eastAsia="仿宋" w:cs="Times New Roman"/>
                <w:color w:val="auto"/>
                <w:sz w:val="24"/>
                <w:szCs w:val="24"/>
                <w:lang w:val="en-US" w:eastAsia="zh-CN"/>
              </w:rPr>
              <w:t>应密封包装</w:t>
            </w:r>
            <w:r>
              <w:rPr>
                <w:rFonts w:hint="eastAsia" w:ascii="Times New Roman" w:hAnsi="Times New Roman" w:eastAsia="仿宋"/>
                <w:color w:val="auto"/>
                <w:sz w:val="24"/>
                <w:szCs w:val="24"/>
                <w:lang w:eastAsia="zh-CN"/>
              </w:rPr>
              <w:t>。</w:t>
            </w:r>
          </w:p>
          <w:p w14:paraId="09CE8361">
            <w:pPr>
              <w:pStyle w:val="51"/>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文件封套：</w:t>
            </w:r>
          </w:p>
          <w:p w14:paraId="682ED148">
            <w:pPr>
              <w:pStyle w:val="51"/>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名称：【</w:t>
            </w:r>
            <w:r>
              <w:rPr>
                <w:rFonts w:hint="eastAsia" w:ascii="仿宋" w:hAnsi="仿宋" w:eastAsia="仿宋" w:cs="仿宋"/>
                <w:i/>
                <w:iCs/>
                <w:color w:val="auto"/>
                <w:sz w:val="24"/>
                <w:szCs w:val="24"/>
                <w:u w:val="single"/>
                <w:lang w:val="en-US" w:eastAsia="zh-CN"/>
              </w:rPr>
              <w:t>供应商</w:t>
            </w:r>
            <w:r>
              <w:rPr>
                <w:rFonts w:hint="eastAsia" w:ascii="仿宋" w:hAnsi="仿宋" w:eastAsia="仿宋" w:cs="仿宋"/>
                <w:i/>
                <w:iCs/>
                <w:color w:val="auto"/>
                <w:sz w:val="24"/>
                <w:szCs w:val="24"/>
                <w:u w:val="single"/>
              </w:rPr>
              <w:t>名称</w:t>
            </w:r>
            <w:r>
              <w:rPr>
                <w:rFonts w:hint="eastAsia" w:ascii="仿宋" w:hAnsi="仿宋" w:eastAsia="仿宋" w:cs="仿宋"/>
                <w:color w:val="auto"/>
                <w:sz w:val="24"/>
                <w:szCs w:val="24"/>
              </w:rPr>
              <w:t xml:space="preserve">】      </w:t>
            </w:r>
          </w:p>
          <w:p w14:paraId="01407F63">
            <w:pPr>
              <w:pStyle w:val="51"/>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i/>
                <w:iCs/>
                <w:color w:val="auto"/>
                <w:sz w:val="24"/>
                <w:szCs w:val="24"/>
                <w:u w:val="single"/>
                <w:lang w:val="en-US" w:eastAsia="zh-CN"/>
              </w:rPr>
              <w:t>采购项目名称</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采购包响应</w:t>
            </w:r>
            <w:r>
              <w:rPr>
                <w:rFonts w:hint="eastAsia" w:ascii="仿宋" w:hAnsi="仿宋" w:eastAsia="仿宋" w:cs="仿宋"/>
                <w:color w:val="auto"/>
                <w:sz w:val="24"/>
                <w:szCs w:val="24"/>
              </w:rPr>
              <w:t>文件</w:t>
            </w:r>
          </w:p>
          <w:p w14:paraId="32FF157D">
            <w:pPr>
              <w:pStyle w:val="51"/>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w:t>
            </w:r>
          </w:p>
          <w:p w14:paraId="57CCB0E2">
            <w:pPr>
              <w:pStyle w:val="51"/>
              <w:spacing w:line="360" w:lineRule="auto"/>
              <w:ind w:firstLine="0" w:firstLineChars="0"/>
              <w:rPr>
                <w:rFonts w:hint="eastAsia" w:ascii="仿宋" w:hAnsi="仿宋" w:eastAsia="仿宋" w:cs="仿宋"/>
                <w:sz w:val="24"/>
                <w:szCs w:val="24"/>
              </w:rPr>
            </w:pPr>
            <w:r>
              <w:rPr>
                <w:rFonts w:hint="eastAsia" w:ascii="仿宋" w:hAnsi="仿宋" w:eastAsia="仿宋" w:cs="仿宋"/>
                <w:color w:val="auto"/>
                <w:sz w:val="24"/>
                <w:szCs w:val="24"/>
              </w:rPr>
              <w:t>在 【</w:t>
            </w:r>
            <w:r>
              <w:rPr>
                <w:rFonts w:hint="eastAsia" w:ascii="仿宋" w:hAnsi="仿宋" w:eastAsia="仿宋" w:cs="仿宋"/>
                <w:i/>
                <w:iCs/>
                <w:color w:val="auto"/>
                <w:sz w:val="24"/>
                <w:szCs w:val="24"/>
                <w:u w:val="single"/>
                <w:lang w:val="en-US" w:eastAsia="zh-CN"/>
              </w:rPr>
              <w:t>年</w:t>
            </w:r>
            <w:r>
              <w:rPr>
                <w:rFonts w:hint="eastAsia" w:ascii="仿宋" w:hAnsi="仿宋" w:eastAsia="仿宋" w:cs="仿宋"/>
                <w:color w:val="auto"/>
                <w:sz w:val="24"/>
                <w:szCs w:val="24"/>
              </w:rPr>
              <w:t>】年【</w:t>
            </w:r>
            <w:r>
              <w:rPr>
                <w:rFonts w:hint="eastAsia" w:ascii="仿宋" w:hAnsi="仿宋" w:eastAsia="仿宋" w:cs="仿宋"/>
                <w:i/>
                <w:iCs/>
                <w:color w:val="auto"/>
                <w:sz w:val="24"/>
                <w:szCs w:val="24"/>
                <w:u w:val="single"/>
                <w:lang w:val="en-US" w:eastAsia="zh-CN"/>
              </w:rPr>
              <w:t>月</w:t>
            </w:r>
            <w:r>
              <w:rPr>
                <w:rFonts w:hint="eastAsia" w:ascii="仿宋" w:hAnsi="仿宋" w:eastAsia="仿宋" w:cs="仿宋"/>
                <w:color w:val="auto"/>
                <w:sz w:val="24"/>
                <w:szCs w:val="24"/>
              </w:rPr>
              <w:t>】 月【</w:t>
            </w:r>
            <w:r>
              <w:rPr>
                <w:rFonts w:hint="eastAsia" w:ascii="仿宋" w:hAnsi="仿宋" w:eastAsia="仿宋" w:cs="仿宋"/>
                <w:i/>
                <w:iCs/>
                <w:color w:val="auto"/>
                <w:sz w:val="24"/>
                <w:szCs w:val="24"/>
                <w:u w:val="single"/>
                <w:lang w:val="en-US" w:eastAsia="zh-CN"/>
              </w:rPr>
              <w:t>日</w:t>
            </w:r>
            <w:r>
              <w:rPr>
                <w:rFonts w:hint="eastAsia" w:ascii="仿宋" w:hAnsi="仿宋" w:eastAsia="仿宋" w:cs="仿宋"/>
                <w:color w:val="auto"/>
                <w:sz w:val="24"/>
                <w:szCs w:val="24"/>
              </w:rPr>
              <w:t>】 日【</w:t>
            </w:r>
            <w:r>
              <w:rPr>
                <w:rFonts w:hint="eastAsia" w:ascii="仿宋" w:hAnsi="仿宋" w:eastAsia="仿宋" w:cs="仿宋"/>
                <w:i/>
                <w:iCs/>
                <w:color w:val="auto"/>
                <w:sz w:val="24"/>
                <w:szCs w:val="24"/>
                <w:u w:val="single"/>
                <w:lang w:val="en-US" w:eastAsia="zh-CN"/>
              </w:rPr>
              <w:t>时</w:t>
            </w:r>
            <w:r>
              <w:rPr>
                <w:rFonts w:hint="eastAsia" w:ascii="仿宋" w:hAnsi="仿宋" w:eastAsia="仿宋" w:cs="仿宋"/>
                <w:color w:val="auto"/>
                <w:sz w:val="24"/>
                <w:szCs w:val="24"/>
              </w:rPr>
              <w:t>】时【</w:t>
            </w:r>
            <w:r>
              <w:rPr>
                <w:rFonts w:hint="eastAsia" w:ascii="仿宋" w:hAnsi="仿宋" w:eastAsia="仿宋" w:cs="仿宋"/>
                <w:i/>
                <w:iCs/>
                <w:color w:val="auto"/>
                <w:sz w:val="24"/>
                <w:szCs w:val="24"/>
                <w:u w:val="single"/>
                <w:lang w:val="en-US" w:eastAsia="zh-CN"/>
              </w:rPr>
              <w:t>分</w:t>
            </w:r>
            <w:r>
              <w:rPr>
                <w:rFonts w:hint="eastAsia" w:ascii="仿宋" w:hAnsi="仿宋" w:eastAsia="仿宋" w:cs="仿宋"/>
                <w:color w:val="auto"/>
                <w:sz w:val="24"/>
                <w:szCs w:val="24"/>
              </w:rPr>
              <w:t>】分前不得开启</w:t>
            </w:r>
          </w:p>
        </w:tc>
      </w:tr>
      <w:tr w14:paraId="613843BC">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36527F6E">
            <w:pPr>
              <w:snapToGrid w:val="0"/>
              <w:jc w:val="center"/>
              <w:rPr>
                <w:rFonts w:hint="eastAsia" w:ascii="仿宋" w:hAnsi="仿宋" w:eastAsia="仿宋" w:cs="仿宋"/>
                <w:sz w:val="24"/>
                <w:szCs w:val="24"/>
              </w:rPr>
            </w:pPr>
            <w:r>
              <w:rPr>
                <w:rFonts w:hint="eastAsia" w:ascii="仿宋" w:hAnsi="仿宋" w:eastAsia="仿宋" w:cs="仿宋"/>
                <w:sz w:val="24"/>
                <w:szCs w:val="24"/>
              </w:rPr>
              <w:t>4.2.1</w:t>
            </w:r>
          </w:p>
        </w:tc>
        <w:tc>
          <w:tcPr>
            <w:tcW w:w="3211" w:type="dxa"/>
            <w:tcBorders>
              <w:top w:val="single" w:color="auto" w:sz="4" w:space="0"/>
              <w:left w:val="single" w:color="auto" w:sz="4" w:space="0"/>
              <w:bottom w:val="single" w:color="auto" w:sz="4" w:space="0"/>
              <w:right w:val="single" w:color="auto" w:sz="4" w:space="0"/>
            </w:tcBorders>
            <w:vAlign w:val="center"/>
          </w:tcPr>
          <w:p w14:paraId="6535C068">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递交响应文件截止时间</w:t>
            </w:r>
            <w:r>
              <w:rPr>
                <w:rFonts w:hint="eastAsia" w:ascii="仿宋" w:hAnsi="仿宋" w:eastAsia="仿宋" w:cs="仿宋"/>
                <w:sz w:val="24"/>
                <w:szCs w:val="24"/>
                <w:lang w:val="en-US" w:eastAsia="zh-CN"/>
              </w:rPr>
              <w:t>及</w:t>
            </w:r>
            <w:r>
              <w:rPr>
                <w:rFonts w:hint="eastAsia" w:ascii="仿宋" w:hAnsi="仿宋" w:eastAsia="仿宋" w:cs="仿宋"/>
                <w:sz w:val="24"/>
                <w:szCs w:val="24"/>
              </w:rPr>
              <w:t>递交响应文件地点</w:t>
            </w:r>
          </w:p>
        </w:tc>
        <w:tc>
          <w:tcPr>
            <w:tcW w:w="4536" w:type="dxa"/>
            <w:tcBorders>
              <w:top w:val="single" w:color="auto" w:sz="4" w:space="0"/>
              <w:left w:val="single" w:color="auto" w:sz="4" w:space="0"/>
              <w:bottom w:val="single" w:color="auto" w:sz="4" w:space="0"/>
              <w:right w:val="single" w:color="auto" w:sz="4" w:space="0"/>
            </w:tcBorders>
            <w:vAlign w:val="center"/>
          </w:tcPr>
          <w:p w14:paraId="61D6C80A">
            <w:pPr>
              <w:snapToGrid w:val="0"/>
              <w:rPr>
                <w:rFonts w:hint="eastAsia" w:ascii="仿宋" w:hAnsi="仿宋" w:eastAsia="仿宋" w:cs="仿宋"/>
                <w:sz w:val="24"/>
                <w:szCs w:val="24"/>
              </w:rPr>
            </w:pPr>
            <w:r>
              <w:rPr>
                <w:rFonts w:hint="eastAsia" w:ascii="仿宋" w:hAnsi="仿宋" w:eastAsia="仿宋" w:cs="仿宋"/>
                <w:color w:val="000000"/>
                <w:sz w:val="24"/>
                <w:szCs w:val="24"/>
                <w:lang w:val="en-US" w:eastAsia="zh-CN"/>
              </w:rPr>
              <w:t>见第一章“询比采购公告”</w:t>
            </w:r>
          </w:p>
        </w:tc>
      </w:tr>
      <w:tr w14:paraId="4003FA70">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443C7915">
            <w:pPr>
              <w:snapToGrid w:val="0"/>
              <w:jc w:val="center"/>
              <w:rPr>
                <w:rFonts w:hint="eastAsia" w:ascii="仿宋" w:hAnsi="仿宋" w:eastAsia="仿宋" w:cs="仿宋"/>
                <w:sz w:val="24"/>
                <w:szCs w:val="24"/>
              </w:rPr>
            </w:pPr>
            <w:r>
              <w:rPr>
                <w:rFonts w:hint="eastAsia" w:ascii="仿宋" w:hAnsi="仿宋" w:eastAsia="仿宋" w:cs="仿宋"/>
                <w:sz w:val="24"/>
                <w:szCs w:val="24"/>
              </w:rPr>
              <w:t>4.2.</w:t>
            </w:r>
            <w:r>
              <w:rPr>
                <w:rFonts w:hint="eastAsia" w:ascii="仿宋" w:hAnsi="仿宋" w:eastAsia="仿宋" w:cs="仿宋"/>
                <w:sz w:val="24"/>
                <w:szCs w:val="24"/>
                <w:lang w:val="en-US" w:eastAsia="zh-CN"/>
              </w:rPr>
              <w:t>2</w:t>
            </w:r>
          </w:p>
        </w:tc>
        <w:tc>
          <w:tcPr>
            <w:tcW w:w="3211" w:type="dxa"/>
            <w:tcBorders>
              <w:top w:val="single" w:color="auto" w:sz="4" w:space="0"/>
              <w:left w:val="single" w:color="auto" w:sz="4" w:space="0"/>
              <w:bottom w:val="single" w:color="auto" w:sz="4" w:space="0"/>
              <w:right w:val="single" w:color="auto" w:sz="4" w:space="0"/>
            </w:tcBorders>
            <w:vAlign w:val="center"/>
          </w:tcPr>
          <w:p w14:paraId="09915189">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是否退还响应文件</w:t>
            </w:r>
          </w:p>
        </w:tc>
        <w:tc>
          <w:tcPr>
            <w:tcW w:w="4536" w:type="dxa"/>
            <w:tcBorders>
              <w:top w:val="single" w:color="auto" w:sz="4" w:space="0"/>
              <w:left w:val="single" w:color="auto" w:sz="4" w:space="0"/>
              <w:bottom w:val="single" w:color="auto" w:sz="4" w:space="0"/>
              <w:right w:val="single" w:color="auto" w:sz="4" w:space="0"/>
            </w:tcBorders>
            <w:vAlign w:val="center"/>
          </w:tcPr>
          <w:p w14:paraId="7BDE49ED">
            <w:pPr>
              <w:pStyle w:val="10"/>
              <w:topLinePunct/>
              <w:snapToGrid w:val="0"/>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否</w:t>
            </w:r>
          </w:p>
          <w:p w14:paraId="6ED4CC44">
            <w:pPr>
              <w:snapToGrid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sym w:font="Wingdings 2" w:char="00A3"/>
            </w:r>
            <w:r>
              <w:rPr>
                <w:rFonts w:hint="eastAsia" w:ascii="仿宋" w:hAnsi="仿宋" w:eastAsia="仿宋" w:cs="仿宋"/>
                <w:sz w:val="24"/>
                <w:szCs w:val="24"/>
              </w:rPr>
              <w:t>是，退还时间：</w:t>
            </w:r>
            <w:r>
              <w:rPr>
                <w:rFonts w:hint="eastAsia" w:ascii="仿宋" w:hAnsi="仿宋" w:eastAsia="仿宋" w:cs="仿宋"/>
                <w:sz w:val="24"/>
                <w:szCs w:val="24"/>
                <w:u w:val="single"/>
              </w:rPr>
              <w:t xml:space="preserve">          </w:t>
            </w:r>
          </w:p>
        </w:tc>
      </w:tr>
      <w:tr w14:paraId="467E5A01">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14:paraId="2CAAB5F0">
            <w:pPr>
              <w:snapToGrid w:val="0"/>
              <w:jc w:val="center"/>
              <w:rPr>
                <w:rFonts w:hint="eastAsia" w:ascii="仿宋" w:hAnsi="仿宋" w:eastAsia="仿宋" w:cs="仿宋"/>
                <w:sz w:val="24"/>
                <w:szCs w:val="24"/>
              </w:rPr>
            </w:pPr>
            <w:r>
              <w:rPr>
                <w:rFonts w:hint="eastAsia" w:ascii="仿宋" w:hAnsi="仿宋" w:eastAsia="仿宋" w:cs="仿宋"/>
                <w:sz w:val="24"/>
                <w:szCs w:val="24"/>
              </w:rPr>
              <w:t>5.2</w:t>
            </w:r>
          </w:p>
        </w:tc>
        <w:tc>
          <w:tcPr>
            <w:tcW w:w="3211" w:type="dxa"/>
            <w:tcBorders>
              <w:top w:val="single" w:color="auto" w:sz="4" w:space="0"/>
              <w:left w:val="single" w:color="auto" w:sz="4" w:space="0"/>
              <w:right w:val="single" w:color="auto" w:sz="4" w:space="0"/>
            </w:tcBorders>
            <w:vAlign w:val="center"/>
          </w:tcPr>
          <w:p w14:paraId="7CA9D01C">
            <w:pPr>
              <w:snapToGrid w:val="0"/>
              <w:jc w:val="center"/>
              <w:rPr>
                <w:rFonts w:hint="eastAsia" w:ascii="仿宋" w:hAnsi="仿宋" w:eastAsia="仿宋" w:cs="仿宋"/>
                <w:sz w:val="24"/>
                <w:szCs w:val="24"/>
              </w:rPr>
            </w:pPr>
            <w:r>
              <w:rPr>
                <w:rFonts w:hint="eastAsia" w:ascii="仿宋" w:hAnsi="仿宋" w:eastAsia="仿宋" w:cs="仿宋"/>
                <w:sz w:val="24"/>
                <w:szCs w:val="24"/>
              </w:rPr>
              <w:t>开启程序</w:t>
            </w:r>
          </w:p>
        </w:tc>
        <w:tc>
          <w:tcPr>
            <w:tcW w:w="4536" w:type="dxa"/>
            <w:tcBorders>
              <w:top w:val="single" w:color="auto" w:sz="4" w:space="0"/>
              <w:left w:val="single" w:color="auto" w:sz="4" w:space="0"/>
              <w:right w:val="single" w:color="auto" w:sz="4" w:space="0"/>
            </w:tcBorders>
            <w:vAlign w:val="center"/>
          </w:tcPr>
          <w:p w14:paraId="4F0D075E">
            <w:pPr>
              <w:snapToGrid w:val="0"/>
              <w:rPr>
                <w:rFonts w:hint="eastAsia" w:ascii="仿宋" w:hAnsi="仿宋" w:eastAsia="仿宋" w:cs="仿宋"/>
                <w:sz w:val="24"/>
                <w:szCs w:val="24"/>
              </w:rPr>
            </w:pPr>
            <w:r>
              <w:rPr>
                <w:rFonts w:hint="eastAsia" w:ascii="仿宋" w:hAnsi="仿宋" w:eastAsia="仿宋" w:cs="仿宋"/>
                <w:sz w:val="24"/>
                <w:szCs w:val="24"/>
                <w:lang w:eastAsia="zh-CN"/>
              </w:rPr>
              <w:t>随机顺序</w:t>
            </w:r>
          </w:p>
        </w:tc>
      </w:tr>
      <w:tr w14:paraId="16B17FC8">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14:paraId="2C8A29F8">
            <w:pPr>
              <w:snapToGrid w:val="0"/>
              <w:jc w:val="center"/>
              <w:rPr>
                <w:rFonts w:hint="eastAsia" w:ascii="仿宋" w:hAnsi="仿宋" w:eastAsia="仿宋" w:cs="仿宋"/>
                <w:sz w:val="24"/>
                <w:szCs w:val="24"/>
              </w:rPr>
            </w:pPr>
            <w:r>
              <w:rPr>
                <w:rFonts w:hint="eastAsia" w:ascii="仿宋" w:hAnsi="仿宋" w:eastAsia="仿宋" w:cs="仿宋"/>
                <w:sz w:val="24"/>
                <w:szCs w:val="24"/>
              </w:rPr>
              <w:t>6.2.2</w:t>
            </w:r>
          </w:p>
        </w:tc>
        <w:tc>
          <w:tcPr>
            <w:tcW w:w="3211" w:type="dxa"/>
            <w:tcBorders>
              <w:top w:val="single" w:color="auto" w:sz="4" w:space="0"/>
              <w:left w:val="single" w:color="auto" w:sz="4" w:space="0"/>
              <w:right w:val="single" w:color="auto" w:sz="4" w:space="0"/>
            </w:tcBorders>
            <w:vAlign w:val="center"/>
          </w:tcPr>
          <w:p w14:paraId="47933F62">
            <w:pPr>
              <w:snapToGrid w:val="0"/>
              <w:jc w:val="center"/>
              <w:rPr>
                <w:rFonts w:hint="eastAsia" w:ascii="仿宋" w:hAnsi="仿宋" w:eastAsia="仿宋" w:cs="仿宋"/>
                <w:sz w:val="24"/>
                <w:szCs w:val="24"/>
              </w:rPr>
            </w:pPr>
            <w:r>
              <w:rPr>
                <w:rFonts w:hint="eastAsia" w:ascii="仿宋" w:hAnsi="仿宋" w:eastAsia="仿宋" w:cs="仿宋"/>
                <w:sz w:val="24"/>
                <w:szCs w:val="24"/>
              </w:rPr>
              <w:t>推荐候选成交供应商的</w:t>
            </w:r>
          </w:p>
          <w:p w14:paraId="371EEC68">
            <w:pPr>
              <w:snapToGrid w:val="0"/>
              <w:jc w:val="center"/>
              <w:rPr>
                <w:rFonts w:hint="eastAsia" w:ascii="仿宋" w:hAnsi="仿宋" w:eastAsia="仿宋" w:cs="仿宋"/>
                <w:sz w:val="24"/>
                <w:szCs w:val="24"/>
              </w:rPr>
            </w:pPr>
            <w:r>
              <w:rPr>
                <w:rFonts w:hint="eastAsia" w:ascii="仿宋" w:hAnsi="仿宋" w:eastAsia="仿宋" w:cs="仿宋"/>
                <w:sz w:val="24"/>
                <w:szCs w:val="24"/>
              </w:rPr>
              <w:t>排序及数量</w:t>
            </w:r>
          </w:p>
        </w:tc>
        <w:tc>
          <w:tcPr>
            <w:tcW w:w="4536" w:type="dxa"/>
            <w:tcBorders>
              <w:top w:val="single" w:color="auto" w:sz="4" w:space="0"/>
              <w:left w:val="single" w:color="auto" w:sz="4" w:space="0"/>
              <w:right w:val="single" w:color="auto" w:sz="4" w:space="0"/>
            </w:tcBorders>
            <w:vAlign w:val="center"/>
          </w:tcPr>
          <w:p w14:paraId="1C2B3B5D">
            <w:pPr>
              <w:pStyle w:val="10"/>
              <w:topLinePunct/>
              <w:snapToGrid w:val="0"/>
              <w:rPr>
                <w:rFonts w:hint="eastAsia" w:ascii="仿宋" w:hAnsi="仿宋" w:eastAsia="仿宋" w:cs="仿宋"/>
                <w:sz w:val="24"/>
                <w:szCs w:val="24"/>
              </w:rPr>
            </w:pPr>
            <w:r>
              <w:rPr>
                <w:rFonts w:hint="eastAsia" w:ascii="仿宋" w:hAnsi="仿宋" w:eastAsia="仿宋" w:cs="仿宋"/>
                <w:sz w:val="24"/>
                <w:szCs w:val="24"/>
              </w:rPr>
              <w:t>是否排序：</w:t>
            </w:r>
          </w:p>
          <w:p w14:paraId="3927D6A6">
            <w:pPr>
              <w:pStyle w:val="10"/>
              <w:topLinePunct/>
              <w:snapToGrid w:val="0"/>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排序</w:t>
            </w:r>
          </w:p>
          <w:p w14:paraId="1A28E78B">
            <w:pPr>
              <w:pStyle w:val="10"/>
              <w:topLinePunct/>
              <w:snapToGrid w:val="0"/>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不排序</w:t>
            </w:r>
          </w:p>
          <w:p w14:paraId="47BC1B46">
            <w:pPr>
              <w:pStyle w:val="10"/>
              <w:topLinePunct/>
              <w:snapToGrid w:val="0"/>
              <w:rPr>
                <w:rFonts w:hint="eastAsia" w:ascii="仿宋" w:hAnsi="仿宋" w:eastAsia="仿宋" w:cs="仿宋"/>
                <w:sz w:val="24"/>
                <w:szCs w:val="24"/>
              </w:rPr>
            </w:pPr>
            <w:r>
              <w:rPr>
                <w:rFonts w:hint="eastAsia" w:ascii="仿宋" w:hAnsi="仿宋" w:eastAsia="仿宋" w:cs="仿宋"/>
                <w:sz w:val="24"/>
                <w:szCs w:val="24"/>
              </w:rPr>
              <w:t>数量：</w:t>
            </w:r>
            <w:r>
              <w:rPr>
                <w:rFonts w:hint="eastAsia" w:ascii="仿宋" w:hAnsi="仿宋" w:eastAsia="仿宋" w:cs="仿宋"/>
                <w:sz w:val="24"/>
                <w:szCs w:val="24"/>
                <w:u w:val="single"/>
                <w:lang w:val="en-US" w:eastAsia="zh-CN"/>
              </w:rPr>
              <w:t>不超过3名成交候选人</w:t>
            </w:r>
          </w:p>
        </w:tc>
      </w:tr>
      <w:tr w14:paraId="25B6BD0D">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14:paraId="006EA391">
            <w:pPr>
              <w:snapToGrid w:val="0"/>
              <w:jc w:val="center"/>
              <w:rPr>
                <w:rFonts w:hint="eastAsia" w:ascii="仿宋" w:hAnsi="仿宋" w:eastAsia="仿宋" w:cs="仿宋"/>
                <w:sz w:val="24"/>
                <w:szCs w:val="24"/>
              </w:rPr>
            </w:pPr>
            <w:r>
              <w:rPr>
                <w:rFonts w:hint="eastAsia" w:ascii="仿宋" w:hAnsi="仿宋" w:eastAsia="仿宋" w:cs="仿宋"/>
                <w:sz w:val="24"/>
                <w:szCs w:val="24"/>
              </w:rPr>
              <w:t>7.3</w:t>
            </w:r>
          </w:p>
        </w:tc>
        <w:tc>
          <w:tcPr>
            <w:tcW w:w="3211" w:type="dxa"/>
            <w:tcBorders>
              <w:top w:val="single" w:color="auto" w:sz="4" w:space="0"/>
              <w:left w:val="single" w:color="auto" w:sz="4" w:space="0"/>
              <w:right w:val="single" w:color="auto" w:sz="4" w:space="0"/>
            </w:tcBorders>
            <w:vAlign w:val="center"/>
          </w:tcPr>
          <w:p w14:paraId="12BC8B76">
            <w:pPr>
              <w:snapToGrid w:val="0"/>
              <w:jc w:val="center"/>
              <w:rPr>
                <w:rFonts w:hint="eastAsia" w:ascii="仿宋" w:hAnsi="仿宋" w:eastAsia="仿宋" w:cs="仿宋"/>
                <w:sz w:val="24"/>
                <w:szCs w:val="24"/>
              </w:rPr>
            </w:pPr>
            <w:r>
              <w:rPr>
                <w:rFonts w:hint="eastAsia" w:ascii="仿宋" w:hAnsi="仿宋" w:eastAsia="仿宋" w:cs="仿宋"/>
                <w:color w:val="000000"/>
                <w:sz w:val="24"/>
                <w:szCs w:val="24"/>
              </w:rPr>
              <w:t>预成交结果公示</w:t>
            </w:r>
          </w:p>
        </w:tc>
        <w:tc>
          <w:tcPr>
            <w:tcW w:w="4536" w:type="dxa"/>
            <w:tcBorders>
              <w:top w:val="single" w:color="auto" w:sz="4" w:space="0"/>
              <w:left w:val="single" w:color="auto" w:sz="4" w:space="0"/>
              <w:right w:val="single" w:color="auto" w:sz="4" w:space="0"/>
            </w:tcBorders>
            <w:vAlign w:val="center"/>
          </w:tcPr>
          <w:p w14:paraId="0709AC4D">
            <w:pPr>
              <w:snapToGrid w:val="0"/>
              <w:rPr>
                <w:rFonts w:hint="eastAsia" w:ascii="仿宋" w:hAnsi="仿宋" w:eastAsia="仿宋" w:cs="仿宋"/>
                <w:sz w:val="24"/>
                <w:szCs w:val="24"/>
              </w:rPr>
            </w:pPr>
            <w:r>
              <w:rPr>
                <w:rFonts w:hint="eastAsia" w:ascii="仿宋" w:hAnsi="仿宋" w:eastAsia="仿宋" w:cs="仿宋"/>
                <w:color w:val="000000"/>
                <w:sz w:val="24"/>
                <w:szCs w:val="24"/>
                <w:lang w:val="en-US" w:eastAsia="zh-CN"/>
              </w:rPr>
              <w:t>不发布预成交结果公示</w:t>
            </w:r>
          </w:p>
        </w:tc>
      </w:tr>
      <w:tr w14:paraId="3BE80AC8">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14:paraId="22DE1337">
            <w:pPr>
              <w:snapToGrid w:val="0"/>
              <w:jc w:val="center"/>
              <w:rPr>
                <w:rFonts w:hint="eastAsia" w:ascii="仿宋" w:hAnsi="仿宋" w:eastAsia="仿宋" w:cs="仿宋"/>
                <w:sz w:val="24"/>
                <w:szCs w:val="24"/>
              </w:rPr>
            </w:pPr>
            <w:r>
              <w:rPr>
                <w:rFonts w:hint="eastAsia" w:ascii="仿宋" w:hAnsi="仿宋" w:eastAsia="仿宋" w:cs="仿宋"/>
                <w:sz w:val="24"/>
                <w:szCs w:val="24"/>
              </w:rPr>
              <w:t>7.5</w:t>
            </w:r>
          </w:p>
        </w:tc>
        <w:tc>
          <w:tcPr>
            <w:tcW w:w="3211" w:type="dxa"/>
            <w:tcBorders>
              <w:top w:val="single" w:color="auto" w:sz="4" w:space="0"/>
              <w:left w:val="single" w:color="auto" w:sz="4" w:space="0"/>
              <w:right w:val="single" w:color="auto" w:sz="4" w:space="0"/>
            </w:tcBorders>
            <w:vAlign w:val="center"/>
          </w:tcPr>
          <w:p w14:paraId="5B6F85C7">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发布成交公告</w:t>
            </w:r>
          </w:p>
        </w:tc>
        <w:tc>
          <w:tcPr>
            <w:tcW w:w="4536" w:type="dxa"/>
            <w:tcBorders>
              <w:top w:val="single" w:color="auto" w:sz="4" w:space="0"/>
              <w:left w:val="single" w:color="auto" w:sz="4" w:space="0"/>
              <w:right w:val="single" w:color="auto" w:sz="4" w:space="0"/>
            </w:tcBorders>
            <w:vAlign w:val="center"/>
          </w:tcPr>
          <w:p w14:paraId="234075BA">
            <w:pPr>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公告媒介：</w:t>
            </w:r>
            <w:r>
              <w:rPr>
                <w:rFonts w:hint="eastAsia" w:ascii="Times New Roman" w:hAnsi="Times New Roman" w:eastAsia="仿宋"/>
                <w:sz w:val="24"/>
                <w:szCs w:val="24"/>
              </w:rPr>
              <w:t>同</w:t>
            </w:r>
            <w:r>
              <w:rPr>
                <w:rFonts w:hint="eastAsia" w:ascii="Times New Roman" w:hAnsi="Times New Roman" w:eastAsia="仿宋"/>
                <w:sz w:val="24"/>
                <w:szCs w:val="24"/>
                <w:lang w:val="en-US" w:eastAsia="zh-CN"/>
              </w:rPr>
              <w:t>询比采购</w:t>
            </w:r>
            <w:r>
              <w:rPr>
                <w:rFonts w:hint="eastAsia" w:ascii="Times New Roman" w:hAnsi="Times New Roman" w:eastAsia="仿宋"/>
                <w:sz w:val="24"/>
                <w:szCs w:val="24"/>
              </w:rPr>
              <w:t>公告发布媒介</w:t>
            </w:r>
          </w:p>
          <w:p w14:paraId="18B51441">
            <w:pPr>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其他应公告的内容：</w:t>
            </w:r>
            <w:r>
              <w:rPr>
                <w:rFonts w:hint="eastAsia" w:ascii="仿宋" w:hAnsi="仿宋" w:eastAsia="仿宋" w:cs="仿宋"/>
                <w:color w:val="000000"/>
                <w:sz w:val="24"/>
                <w:szCs w:val="24"/>
                <w:lang w:val="en-US" w:eastAsia="zh-CN"/>
              </w:rPr>
              <w:t>成交供应商名称、成交供应商响应报价。</w:t>
            </w:r>
          </w:p>
        </w:tc>
      </w:tr>
      <w:tr w14:paraId="4A9242C4">
        <w:tblPrEx>
          <w:tblCellMar>
            <w:top w:w="0" w:type="dxa"/>
            <w:left w:w="108" w:type="dxa"/>
            <w:bottom w:w="0" w:type="dxa"/>
            <w:right w:w="108" w:type="dxa"/>
          </w:tblCellMar>
        </w:tblPrEx>
        <w:trPr>
          <w:trHeight w:val="4878" w:hRule="atLeast"/>
        </w:trPr>
        <w:tc>
          <w:tcPr>
            <w:tcW w:w="1008" w:type="dxa"/>
            <w:tcBorders>
              <w:top w:val="single" w:color="auto" w:sz="4" w:space="0"/>
              <w:left w:val="single" w:color="auto" w:sz="4" w:space="0"/>
              <w:bottom w:val="single" w:color="auto" w:sz="4" w:space="0"/>
              <w:right w:val="single" w:color="auto" w:sz="4" w:space="0"/>
            </w:tcBorders>
            <w:vAlign w:val="center"/>
          </w:tcPr>
          <w:p w14:paraId="4BFFAFD8">
            <w:pPr>
              <w:snapToGrid w:val="0"/>
              <w:jc w:val="center"/>
              <w:rPr>
                <w:rFonts w:hint="eastAsia" w:ascii="仿宋" w:hAnsi="仿宋" w:eastAsia="仿宋" w:cs="仿宋"/>
                <w:sz w:val="24"/>
                <w:szCs w:val="24"/>
              </w:rPr>
            </w:pPr>
            <w:r>
              <w:rPr>
                <w:rFonts w:hint="eastAsia" w:ascii="仿宋" w:hAnsi="仿宋" w:eastAsia="仿宋" w:cs="仿宋"/>
                <w:sz w:val="24"/>
                <w:szCs w:val="24"/>
              </w:rPr>
              <w:t>7.6</w:t>
            </w:r>
          </w:p>
        </w:tc>
        <w:tc>
          <w:tcPr>
            <w:tcW w:w="3211" w:type="dxa"/>
            <w:tcBorders>
              <w:top w:val="single" w:color="auto" w:sz="4" w:space="0"/>
              <w:left w:val="single" w:color="auto" w:sz="4" w:space="0"/>
              <w:bottom w:val="single" w:color="auto" w:sz="4" w:space="0"/>
              <w:right w:val="single" w:color="auto" w:sz="4" w:space="0"/>
            </w:tcBorders>
            <w:vAlign w:val="center"/>
          </w:tcPr>
          <w:p w14:paraId="61FD1326">
            <w:pPr>
              <w:snapToGrid w:val="0"/>
              <w:jc w:val="center"/>
              <w:rPr>
                <w:rFonts w:hint="eastAsia" w:ascii="仿宋" w:hAnsi="仿宋" w:eastAsia="仿宋" w:cs="仿宋"/>
                <w:sz w:val="24"/>
                <w:szCs w:val="24"/>
              </w:rPr>
            </w:pPr>
            <w:r>
              <w:rPr>
                <w:rFonts w:hint="eastAsia" w:ascii="仿宋" w:hAnsi="仿宋" w:eastAsia="仿宋" w:cs="仿宋"/>
                <w:sz w:val="24"/>
                <w:szCs w:val="24"/>
              </w:rPr>
              <w:t>履约保证金</w:t>
            </w:r>
          </w:p>
        </w:tc>
        <w:tc>
          <w:tcPr>
            <w:tcW w:w="4536" w:type="dxa"/>
            <w:tcBorders>
              <w:top w:val="single" w:color="auto" w:sz="4" w:space="0"/>
              <w:left w:val="single" w:color="auto" w:sz="4" w:space="0"/>
              <w:bottom w:val="single" w:color="auto" w:sz="4" w:space="0"/>
              <w:right w:val="single" w:color="auto" w:sz="4" w:space="0"/>
            </w:tcBorders>
            <w:vAlign w:val="center"/>
          </w:tcPr>
          <w:p w14:paraId="63555E02">
            <w:pPr>
              <w:snapToGrid w:val="0"/>
              <w:spacing w:line="360" w:lineRule="auto"/>
              <w:jc w:val="left"/>
              <w:rPr>
                <w:rFonts w:hint="eastAsia" w:ascii="Times New Roman" w:hAnsi="Times New Roman" w:eastAsia="仿宋" w:cs="Times New Roman"/>
                <w:b w:val="0"/>
                <w:bCs w:val="0"/>
                <w:snapToGrid/>
                <w:sz w:val="24"/>
                <w:szCs w:val="24"/>
              </w:rPr>
            </w:pPr>
            <w:r>
              <w:rPr>
                <w:rFonts w:hint="eastAsia" w:ascii="Times New Roman" w:hAnsi="Times New Roman" w:eastAsia="仿宋" w:cs="Times New Roman"/>
                <w:snapToGrid/>
                <w:sz w:val="24"/>
                <w:szCs w:val="24"/>
              </w:rPr>
              <w:t>是否要求</w:t>
            </w:r>
            <w:r>
              <w:rPr>
                <w:rFonts w:hint="eastAsia" w:ascii="Times New Roman" w:hAnsi="Times New Roman" w:eastAsia="仿宋" w:cs="Times New Roman"/>
                <w:snapToGrid/>
                <w:sz w:val="24"/>
                <w:szCs w:val="24"/>
                <w:lang w:val="en-US" w:eastAsia="zh-CN"/>
              </w:rPr>
              <w:t>供应商</w:t>
            </w:r>
            <w:r>
              <w:rPr>
                <w:rFonts w:hint="eastAsia" w:ascii="Times New Roman" w:hAnsi="Times New Roman" w:eastAsia="仿宋" w:cs="Times New Roman"/>
                <w:snapToGrid/>
                <w:sz w:val="24"/>
                <w:szCs w:val="24"/>
              </w:rPr>
              <w:t>递交</w:t>
            </w:r>
            <w:r>
              <w:rPr>
                <w:rFonts w:hint="eastAsia" w:ascii="Times New Roman" w:hAnsi="Times New Roman" w:eastAsia="仿宋" w:cs="Times New Roman"/>
                <w:sz w:val="24"/>
                <w:szCs w:val="24"/>
              </w:rPr>
              <w:t>履约保证金</w:t>
            </w:r>
            <w:r>
              <w:rPr>
                <w:rFonts w:hint="eastAsia" w:ascii="Times New Roman" w:hAnsi="Times New Roman" w:eastAsia="仿宋" w:cs="Times New Roman"/>
                <w:snapToGrid/>
                <w:sz w:val="24"/>
                <w:szCs w:val="24"/>
              </w:rPr>
              <w:t>：</w:t>
            </w:r>
          </w:p>
          <w:p w14:paraId="4FCFC026">
            <w:pPr>
              <w:snapToGrid w:val="0"/>
              <w:spacing w:line="360" w:lineRule="auto"/>
              <w:jc w:val="left"/>
              <w:rPr>
                <w:rFonts w:hint="eastAsia" w:ascii="Times New Roman" w:hAnsi="Times New Roman" w:eastAsia="仿宋" w:cs="Times New Roman"/>
                <w:snapToGrid/>
                <w:sz w:val="24"/>
                <w:szCs w:val="24"/>
                <w:highlight w:val="none"/>
              </w:rPr>
            </w:pPr>
            <w:r>
              <w:rPr>
                <w:rFonts w:hint="eastAsia" w:ascii="Times New Roman" w:hAnsi="Times New Roman" w:eastAsia="仿宋" w:cs="Times New Roman"/>
                <w:snapToGrid/>
                <w:sz w:val="24"/>
                <w:szCs w:val="24"/>
                <w:highlight w:val="none"/>
              </w:rPr>
              <w:sym w:font="Wingdings 2" w:char="0052"/>
            </w:r>
            <w:r>
              <w:rPr>
                <w:rFonts w:hint="eastAsia" w:ascii="Times New Roman" w:hAnsi="Times New Roman" w:eastAsia="仿宋" w:cs="Times New Roman"/>
                <w:snapToGrid/>
                <w:sz w:val="24"/>
                <w:szCs w:val="24"/>
                <w:highlight w:val="none"/>
              </w:rPr>
              <w:t>不要求</w:t>
            </w:r>
          </w:p>
          <w:p w14:paraId="414D2C17">
            <w:pPr>
              <w:snapToGrid w:val="0"/>
              <w:spacing w:line="360" w:lineRule="auto"/>
              <w:jc w:val="left"/>
              <w:rPr>
                <w:rFonts w:hint="eastAsia" w:ascii="Times New Roman" w:hAnsi="Times New Roman" w:eastAsia="仿宋" w:cs="Times New Roman"/>
                <w:snapToGrid/>
                <w:sz w:val="24"/>
                <w:szCs w:val="24"/>
              </w:rPr>
            </w:pPr>
            <w:r>
              <w:rPr>
                <w:rFonts w:hint="eastAsia" w:ascii="Times New Roman" w:hAnsi="Times New Roman" w:eastAsia="仿宋" w:cs="Times New Roman"/>
                <w:snapToGrid/>
                <w:sz w:val="24"/>
                <w:szCs w:val="24"/>
              </w:rPr>
              <w:sym w:font="Wingdings 2" w:char="00A3"/>
            </w:r>
            <w:r>
              <w:rPr>
                <w:rFonts w:hint="eastAsia" w:ascii="Times New Roman" w:hAnsi="Times New Roman" w:eastAsia="仿宋" w:cs="Times New Roman"/>
                <w:snapToGrid/>
                <w:sz w:val="24"/>
                <w:szCs w:val="24"/>
              </w:rPr>
              <w:t>要求，具体如下：</w:t>
            </w:r>
          </w:p>
          <w:p w14:paraId="4B5F1D25">
            <w:pPr>
              <w:snapToGrid w:val="0"/>
              <w:spacing w:line="360" w:lineRule="auto"/>
              <w:jc w:val="left"/>
              <w:rPr>
                <w:rFonts w:hint="eastAsia" w:ascii="Times New Roman" w:hAnsi="Times New Roman" w:eastAsia="仿宋" w:cs="Times New Roman"/>
                <w:bCs w:val="0"/>
                <w:snapToGrid/>
                <w:sz w:val="24"/>
                <w:szCs w:val="24"/>
              </w:rPr>
            </w:pPr>
            <w:r>
              <w:rPr>
                <w:rFonts w:hint="eastAsia" w:ascii="Times New Roman" w:hAnsi="Times New Roman" w:eastAsia="仿宋" w:cs="Times New Roman"/>
                <w:bCs w:val="0"/>
                <w:snapToGrid/>
                <w:sz w:val="24"/>
                <w:szCs w:val="24"/>
              </w:rPr>
              <w:t>（1）履约保证金金额：</w:t>
            </w:r>
            <w:r>
              <w:rPr>
                <w:rFonts w:hint="eastAsia" w:ascii="Times New Roman" w:hAnsi="Times New Roman" w:eastAsia="仿宋" w:cs="Times New Roman"/>
                <w:bCs w:val="0"/>
                <w:color w:val="auto"/>
                <w:sz w:val="24"/>
                <w:szCs w:val="24"/>
                <w:u w:val="none"/>
                <w:lang w:eastAsia="zh-CN"/>
              </w:rPr>
              <w:t>【</w:t>
            </w:r>
            <w:r>
              <w:rPr>
                <w:rFonts w:hint="eastAsia" w:ascii="Times New Roman" w:hAnsi="Times New Roman" w:eastAsia="仿宋" w:cs="Times New Roman"/>
                <w:bCs w:val="0"/>
                <w:snapToGrid/>
                <w:color w:val="auto"/>
                <w:sz w:val="24"/>
                <w:szCs w:val="24"/>
              </w:rPr>
              <w:t>履约保证金金额</w:t>
            </w:r>
            <w:r>
              <w:rPr>
                <w:rFonts w:hint="eastAsia" w:ascii="Times New Roman" w:hAnsi="Times New Roman" w:eastAsia="仿宋" w:cs="Times New Roman"/>
                <w:bCs w:val="0"/>
                <w:sz w:val="24"/>
                <w:szCs w:val="24"/>
                <w:u w:val="none"/>
                <w:lang w:eastAsia="zh-CN"/>
              </w:rPr>
              <w:t>】</w:t>
            </w:r>
          </w:p>
          <w:p w14:paraId="0107879F">
            <w:pPr>
              <w:snapToGrid w:val="0"/>
              <w:spacing w:line="360" w:lineRule="auto"/>
              <w:jc w:val="left"/>
              <w:rPr>
                <w:rFonts w:hint="eastAsia" w:ascii="Times New Roman" w:hAnsi="Times New Roman" w:eastAsia="仿宋" w:cs="Times New Roman"/>
                <w:sz w:val="24"/>
                <w:szCs w:val="24"/>
              </w:rPr>
            </w:pPr>
            <w:r>
              <w:rPr>
                <w:rFonts w:hint="eastAsia" w:ascii="Times New Roman" w:hAnsi="Times New Roman" w:eastAsia="仿宋" w:cs="Times New Roman"/>
                <w:bCs w:val="0"/>
                <w:snapToGrid/>
                <w:sz w:val="24"/>
                <w:szCs w:val="24"/>
              </w:rPr>
              <w:t>（2）履约保证金形式</w:t>
            </w:r>
            <w:r>
              <w:rPr>
                <w:rFonts w:hint="eastAsia" w:ascii="Times New Roman" w:hAnsi="Times New Roman" w:eastAsia="仿宋" w:cs="Times New Roman"/>
                <w:sz w:val="24"/>
                <w:szCs w:val="24"/>
              </w:rPr>
              <w:t>：</w:t>
            </w:r>
          </w:p>
          <w:p w14:paraId="25DB195D">
            <w:pPr>
              <w:snapToGrid w:val="0"/>
              <w:spacing w:line="360" w:lineRule="auto"/>
              <w:jc w:val="left"/>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sym w:font="Wingdings 2" w:char="00A3"/>
            </w:r>
            <w:r>
              <w:rPr>
                <w:rFonts w:hint="eastAsia" w:ascii="Times New Roman" w:hAnsi="Times New Roman" w:eastAsia="仿宋" w:cs="Times New Roman"/>
                <w:sz w:val="24"/>
                <w:szCs w:val="24"/>
              </w:rPr>
              <w:t>现金（银行转账、银行电汇）</w:t>
            </w:r>
          </w:p>
          <w:p w14:paraId="0A4146F4">
            <w:pPr>
              <w:snapToGrid w:val="0"/>
              <w:spacing w:line="360" w:lineRule="auto"/>
              <w:jc w:val="left"/>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sym w:font="Wingdings 2" w:char="00A3"/>
            </w:r>
            <w:r>
              <w:rPr>
                <w:rFonts w:hint="eastAsia" w:ascii="Times New Roman" w:hAnsi="Times New Roman" w:eastAsia="仿宋" w:cs="Times New Roman"/>
                <w:sz w:val="24"/>
                <w:szCs w:val="24"/>
              </w:rPr>
              <w:t>银行保函</w:t>
            </w:r>
          </w:p>
          <w:p w14:paraId="3E99F52D">
            <w:pPr>
              <w:snapToGrid w:val="0"/>
              <w:spacing w:line="360" w:lineRule="auto"/>
              <w:jc w:val="left"/>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sym w:font="Wingdings 2" w:char="00A3"/>
            </w:r>
            <w:r>
              <w:rPr>
                <w:rFonts w:hint="eastAsia" w:ascii="Times New Roman" w:hAnsi="Times New Roman" w:eastAsia="仿宋" w:cs="Times New Roman"/>
                <w:sz w:val="24"/>
                <w:szCs w:val="24"/>
              </w:rPr>
              <w:t>担保机构担保</w:t>
            </w:r>
          </w:p>
          <w:p w14:paraId="0E19DBFD">
            <w:pPr>
              <w:snapToGrid w:val="0"/>
              <w:spacing w:line="360" w:lineRule="auto"/>
              <w:jc w:val="left"/>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sym w:font="Wingdings 2" w:char="00A3"/>
            </w:r>
            <w:r>
              <w:rPr>
                <w:rFonts w:hint="eastAsia" w:ascii="Times New Roman" w:hAnsi="Times New Roman" w:eastAsia="仿宋" w:cs="Times New Roman"/>
                <w:sz w:val="24"/>
                <w:szCs w:val="24"/>
              </w:rPr>
              <w:t>保证保险</w:t>
            </w:r>
          </w:p>
          <w:p w14:paraId="7066FE5F">
            <w:pPr>
              <w:snapToGrid w:val="0"/>
              <w:spacing w:line="360" w:lineRule="auto"/>
              <w:jc w:val="left"/>
              <w:rPr>
                <w:rFonts w:hint="eastAsia" w:ascii="Times New Roman" w:hAnsi="Times New Roman" w:eastAsia="仿宋" w:cs="Times New Roman"/>
                <w:sz w:val="24"/>
                <w:szCs w:val="24"/>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3）</w:t>
            </w:r>
            <w:r>
              <w:rPr>
                <w:rFonts w:hint="eastAsia" w:ascii="Times New Roman" w:hAnsi="Times New Roman" w:eastAsia="仿宋" w:cs="Times New Roman"/>
                <w:sz w:val="24"/>
                <w:szCs w:val="24"/>
              </w:rPr>
              <w:t>递交时间：</w:t>
            </w:r>
            <w:r>
              <w:rPr>
                <w:rFonts w:hint="eastAsia" w:ascii="Times New Roman" w:hAnsi="Times New Roman" w:eastAsia="仿宋" w:cs="Times New Roman"/>
                <w:sz w:val="24"/>
                <w:szCs w:val="24"/>
                <w:lang w:val="en-US" w:eastAsia="zh-CN"/>
              </w:rPr>
              <w:t>签订合同前</w:t>
            </w:r>
            <w:r>
              <w:rPr>
                <w:rFonts w:hint="eastAsia" w:ascii="Times New Roman" w:hAnsi="Times New Roman" w:eastAsia="仿宋" w:cs="Times New Roman"/>
                <w:sz w:val="24"/>
                <w:szCs w:val="24"/>
              </w:rPr>
              <w:t xml:space="preserve">            </w:t>
            </w:r>
          </w:p>
          <w:p w14:paraId="0AA8698D">
            <w:pPr>
              <w:snapToGrid w:val="0"/>
              <w:rPr>
                <w:rFonts w:hint="eastAsia" w:ascii="仿宋" w:hAnsi="仿宋" w:eastAsia="仿宋" w:cs="仿宋"/>
                <w:sz w:val="24"/>
                <w:szCs w:val="24"/>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4</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rPr>
              <w:t>其他要求：</w:t>
            </w:r>
            <w:r>
              <w:rPr>
                <w:rFonts w:hint="eastAsia" w:ascii="Times New Roman" w:hAnsi="Times New Roman" w:eastAsia="仿宋" w:cs="Times New Roman"/>
                <w:sz w:val="24"/>
                <w:szCs w:val="24"/>
                <w:u w:val="single"/>
                <w:lang w:val="en-US" w:eastAsia="zh-CN"/>
              </w:rPr>
              <w:t xml:space="preserve">             </w:t>
            </w:r>
            <w:r>
              <w:rPr>
                <w:rFonts w:hint="eastAsia" w:ascii="Times New Roman" w:hAnsi="Times New Roman" w:eastAsia="仿宋" w:cs="Times New Roman"/>
                <w:sz w:val="24"/>
                <w:szCs w:val="24"/>
              </w:rPr>
              <w:t xml:space="preserve">  </w:t>
            </w:r>
          </w:p>
        </w:tc>
      </w:tr>
      <w:tr w14:paraId="063C81F4">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046A7D42">
            <w:pPr>
              <w:snapToGrid w:val="0"/>
              <w:jc w:val="center"/>
              <w:rPr>
                <w:rFonts w:hint="eastAsia" w:ascii="仿宋" w:hAnsi="仿宋" w:eastAsia="仿宋" w:cs="仿宋"/>
                <w:sz w:val="24"/>
                <w:szCs w:val="24"/>
              </w:rPr>
            </w:pPr>
            <w:r>
              <w:rPr>
                <w:rFonts w:hint="eastAsia" w:ascii="仿宋" w:hAnsi="仿宋" w:eastAsia="仿宋" w:cs="仿宋"/>
                <w:sz w:val="24"/>
                <w:szCs w:val="24"/>
              </w:rPr>
              <w:t>7.7.4</w:t>
            </w:r>
          </w:p>
        </w:tc>
        <w:tc>
          <w:tcPr>
            <w:tcW w:w="3211" w:type="dxa"/>
            <w:tcBorders>
              <w:top w:val="single" w:color="auto" w:sz="4" w:space="0"/>
              <w:left w:val="single" w:color="auto" w:sz="4" w:space="0"/>
              <w:bottom w:val="single" w:color="auto" w:sz="4" w:space="0"/>
              <w:right w:val="single" w:color="auto" w:sz="4" w:space="0"/>
            </w:tcBorders>
            <w:vAlign w:val="center"/>
          </w:tcPr>
          <w:p w14:paraId="17E81E9B">
            <w:pPr>
              <w:snapToGrid w:val="0"/>
              <w:jc w:val="center"/>
              <w:rPr>
                <w:rFonts w:hint="eastAsia" w:ascii="仿宋" w:hAnsi="仿宋" w:eastAsia="仿宋" w:cs="仿宋"/>
                <w:sz w:val="24"/>
                <w:szCs w:val="24"/>
              </w:rPr>
            </w:pPr>
            <w:r>
              <w:rPr>
                <w:rFonts w:hint="eastAsia" w:ascii="仿宋" w:hAnsi="仿宋" w:eastAsia="仿宋" w:cs="仿宋"/>
                <w:sz w:val="24"/>
                <w:szCs w:val="24"/>
              </w:rPr>
              <w:t>签约合同价</w:t>
            </w:r>
          </w:p>
        </w:tc>
        <w:tc>
          <w:tcPr>
            <w:tcW w:w="4536" w:type="dxa"/>
            <w:tcBorders>
              <w:top w:val="single" w:color="auto" w:sz="4" w:space="0"/>
              <w:left w:val="single" w:color="auto" w:sz="4" w:space="0"/>
              <w:bottom w:val="single" w:color="auto" w:sz="4" w:space="0"/>
              <w:right w:val="single" w:color="auto" w:sz="4" w:space="0"/>
            </w:tcBorders>
            <w:vAlign w:val="center"/>
          </w:tcPr>
          <w:p w14:paraId="14BCD1C2">
            <w:pPr>
              <w:snapToGrid w:val="0"/>
              <w:spacing w:line="360" w:lineRule="auto"/>
              <w:jc w:val="left"/>
              <w:rPr>
                <w:rFonts w:hint="default" w:ascii="仿宋" w:hAnsi="仿宋" w:eastAsia="仿宋" w:cs="仿宋"/>
                <w:sz w:val="24"/>
                <w:szCs w:val="24"/>
                <w:u w:val="none"/>
                <w:lang w:val="en-US" w:eastAsia="zh-CN"/>
              </w:rPr>
            </w:pPr>
            <w:r>
              <w:rPr>
                <w:rFonts w:hint="eastAsia" w:ascii="Times New Roman" w:hAnsi="Times New Roman" w:eastAsia="仿宋" w:cs="Times New Roman"/>
                <w:sz w:val="24"/>
                <w:szCs w:val="24"/>
                <w:lang w:val="en-US" w:eastAsia="zh-CN"/>
              </w:rPr>
              <w:t xml:space="preserve"> /</w:t>
            </w:r>
          </w:p>
        </w:tc>
      </w:tr>
      <w:tr w14:paraId="474F7A9A">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122EBF80">
            <w:pPr>
              <w:snapToGrid w:val="0"/>
              <w:jc w:val="center"/>
              <w:rPr>
                <w:rFonts w:hint="eastAsia" w:ascii="仿宋" w:hAnsi="仿宋" w:eastAsia="仿宋" w:cs="仿宋"/>
                <w:sz w:val="24"/>
                <w:szCs w:val="24"/>
              </w:rPr>
            </w:pPr>
            <w:r>
              <w:rPr>
                <w:rFonts w:hint="eastAsia" w:ascii="仿宋" w:hAnsi="仿宋" w:eastAsia="仿宋" w:cs="仿宋"/>
                <w:sz w:val="24"/>
                <w:szCs w:val="24"/>
              </w:rPr>
              <w:t>8.1</w:t>
            </w:r>
          </w:p>
        </w:tc>
        <w:tc>
          <w:tcPr>
            <w:tcW w:w="3211" w:type="dxa"/>
            <w:tcBorders>
              <w:top w:val="single" w:color="auto" w:sz="4" w:space="0"/>
              <w:left w:val="single" w:color="auto" w:sz="4" w:space="0"/>
              <w:bottom w:val="single" w:color="auto" w:sz="4" w:space="0"/>
              <w:right w:val="single" w:color="auto" w:sz="4" w:space="0"/>
            </w:tcBorders>
            <w:vAlign w:val="center"/>
          </w:tcPr>
          <w:p w14:paraId="395572F7">
            <w:pPr>
              <w:snapToGrid w:val="0"/>
              <w:jc w:val="center"/>
              <w:rPr>
                <w:rFonts w:hint="eastAsia" w:ascii="仿宋" w:hAnsi="仿宋" w:eastAsia="仿宋" w:cs="仿宋"/>
                <w:sz w:val="24"/>
                <w:szCs w:val="24"/>
              </w:rPr>
            </w:pPr>
            <w:r>
              <w:rPr>
                <w:rFonts w:hint="eastAsia" w:ascii="仿宋" w:hAnsi="仿宋" w:eastAsia="仿宋" w:cs="仿宋"/>
                <w:sz w:val="24"/>
                <w:szCs w:val="24"/>
              </w:rPr>
              <w:t>异议</w:t>
            </w:r>
          </w:p>
        </w:tc>
        <w:tc>
          <w:tcPr>
            <w:tcW w:w="4536" w:type="dxa"/>
            <w:tcBorders>
              <w:top w:val="single" w:color="auto" w:sz="4" w:space="0"/>
              <w:left w:val="single" w:color="auto" w:sz="4" w:space="0"/>
              <w:bottom w:val="single" w:color="auto" w:sz="4" w:space="0"/>
              <w:right w:val="single" w:color="auto" w:sz="4" w:space="0"/>
            </w:tcBorders>
            <w:vAlign w:val="center"/>
          </w:tcPr>
          <w:p w14:paraId="7F745719">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异议（质疑）：</w:t>
            </w:r>
          </w:p>
          <w:p w14:paraId="79C41CF6">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1、受理异议（质疑）的联系方式：</w:t>
            </w:r>
          </w:p>
          <w:p w14:paraId="75EA1CBC">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采购代理机构：安徽省</w:t>
            </w:r>
            <w:r>
              <w:rPr>
                <w:rFonts w:hint="eastAsia" w:ascii="仿宋" w:hAnsi="仿宋" w:eastAsia="仿宋" w:cs="仿宋"/>
                <w:sz w:val="24"/>
                <w:szCs w:val="24"/>
                <w:lang w:eastAsia="zh-CN"/>
              </w:rPr>
              <w:t>招标集团</w:t>
            </w:r>
            <w:r>
              <w:rPr>
                <w:rFonts w:hint="eastAsia" w:ascii="仿宋" w:hAnsi="仿宋" w:eastAsia="仿宋" w:cs="仿宋"/>
                <w:sz w:val="24"/>
                <w:szCs w:val="24"/>
              </w:rPr>
              <w:t>股份有限公司</w:t>
            </w:r>
          </w:p>
          <w:p w14:paraId="6772EC45">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地址：安徽省</w:t>
            </w:r>
            <w:r>
              <w:rPr>
                <w:rFonts w:hint="eastAsia" w:ascii="仿宋" w:hAnsi="仿宋" w:eastAsia="仿宋" w:cs="仿宋"/>
                <w:sz w:val="24"/>
                <w:szCs w:val="24"/>
                <w:lang w:eastAsia="zh-CN"/>
              </w:rPr>
              <w:t>招标集团</w:t>
            </w:r>
            <w:r>
              <w:rPr>
                <w:rFonts w:hint="eastAsia" w:ascii="仿宋" w:hAnsi="仿宋" w:eastAsia="仿宋" w:cs="仿宋"/>
                <w:sz w:val="24"/>
                <w:szCs w:val="24"/>
              </w:rPr>
              <w:t>大厦10楼法务办公室</w:t>
            </w:r>
          </w:p>
          <w:p w14:paraId="382B5862">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联系电话：0551-62220155</w:t>
            </w:r>
          </w:p>
          <w:p w14:paraId="7A75B5FA">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联系人：张怀远</w:t>
            </w:r>
          </w:p>
          <w:p w14:paraId="116D8DCA">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2、对采购文件的异议（质疑）：</w:t>
            </w:r>
          </w:p>
          <w:p w14:paraId="7A1D679C">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供应商未在本采购文件规定的时间内提出澄清要求或未在响应文件递交的截止时间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日前提出异议（质疑）的，视为其对本文件无异议（质疑），上述时间之后对</w:t>
            </w:r>
            <w:r>
              <w:rPr>
                <w:rFonts w:hint="eastAsia" w:ascii="仿宋" w:hAnsi="仿宋" w:eastAsia="仿宋" w:cs="仿宋"/>
                <w:sz w:val="24"/>
                <w:szCs w:val="24"/>
                <w:lang w:val="en-US" w:eastAsia="zh-CN"/>
              </w:rPr>
              <w:t>响应</w:t>
            </w:r>
            <w:r>
              <w:rPr>
                <w:rFonts w:hint="eastAsia" w:ascii="仿宋" w:hAnsi="仿宋" w:eastAsia="仿宋" w:cs="仿宋"/>
                <w:sz w:val="24"/>
                <w:szCs w:val="24"/>
              </w:rPr>
              <w:t>文件相关内容提出异议（质疑）的</w:t>
            </w:r>
            <w:r>
              <w:rPr>
                <w:rFonts w:hint="eastAsia" w:ascii="仿宋" w:hAnsi="仿宋" w:eastAsia="仿宋" w:cs="仿宋"/>
                <w:sz w:val="24"/>
                <w:szCs w:val="24"/>
                <w:lang w:val="en-US" w:eastAsia="zh-CN"/>
              </w:rPr>
              <w:t>将</w:t>
            </w:r>
            <w:r>
              <w:rPr>
                <w:rFonts w:hint="eastAsia" w:ascii="仿宋" w:hAnsi="仿宋" w:eastAsia="仿宋" w:cs="仿宋"/>
                <w:sz w:val="24"/>
                <w:szCs w:val="24"/>
              </w:rPr>
              <w:t>不予受理。。</w:t>
            </w:r>
          </w:p>
          <w:p w14:paraId="6313BF98">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3、对</w:t>
            </w:r>
            <w:r>
              <w:rPr>
                <w:rFonts w:hint="eastAsia" w:ascii="仿宋" w:hAnsi="仿宋" w:eastAsia="仿宋" w:cs="仿宋"/>
                <w:sz w:val="24"/>
                <w:szCs w:val="24"/>
                <w:lang w:val="en-US" w:eastAsia="zh-CN"/>
              </w:rPr>
              <w:t>开启</w:t>
            </w:r>
            <w:r>
              <w:rPr>
                <w:rFonts w:hint="eastAsia" w:ascii="仿宋" w:hAnsi="仿宋" w:eastAsia="仿宋" w:cs="仿宋"/>
                <w:sz w:val="24"/>
                <w:szCs w:val="24"/>
              </w:rPr>
              <w:t>过程提出异议（质疑）的，应于</w:t>
            </w:r>
            <w:r>
              <w:rPr>
                <w:rFonts w:hint="eastAsia" w:ascii="仿宋" w:hAnsi="仿宋" w:eastAsia="仿宋" w:cs="仿宋"/>
                <w:sz w:val="24"/>
                <w:szCs w:val="24"/>
                <w:lang w:val="en-US" w:eastAsia="zh-CN"/>
              </w:rPr>
              <w:t>开启</w:t>
            </w:r>
            <w:r>
              <w:rPr>
                <w:rFonts w:hint="eastAsia" w:ascii="仿宋" w:hAnsi="仿宋" w:eastAsia="仿宋" w:cs="仿宋"/>
                <w:sz w:val="24"/>
                <w:szCs w:val="24"/>
              </w:rPr>
              <w:t>现场提出。</w:t>
            </w:r>
          </w:p>
          <w:p w14:paraId="7069C5A3">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4、对评审结果的异议（质疑）：</w:t>
            </w:r>
          </w:p>
          <w:p w14:paraId="4C11BA74">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采购响应相关各方对评审结果有异议（质疑），应在公示期内以书面形式向安徽省</w:t>
            </w:r>
            <w:r>
              <w:rPr>
                <w:rFonts w:hint="eastAsia" w:ascii="仿宋" w:hAnsi="仿宋" w:eastAsia="仿宋" w:cs="仿宋"/>
                <w:sz w:val="24"/>
                <w:szCs w:val="24"/>
                <w:lang w:eastAsia="zh-CN"/>
              </w:rPr>
              <w:t>招标集团</w:t>
            </w:r>
            <w:r>
              <w:rPr>
                <w:rFonts w:hint="eastAsia" w:ascii="仿宋" w:hAnsi="仿宋" w:eastAsia="仿宋" w:cs="仿宋"/>
                <w:sz w:val="24"/>
                <w:szCs w:val="24"/>
              </w:rPr>
              <w:t>股份有限公司提出。</w:t>
            </w:r>
          </w:p>
          <w:p w14:paraId="1B53695D">
            <w:pPr>
              <w:snapToGrid w:val="0"/>
              <w:spacing w:line="0" w:lineRule="atLeast"/>
              <w:jc w:val="left"/>
              <w:rPr>
                <w:rFonts w:hint="eastAsia" w:ascii="仿宋" w:hAnsi="仿宋" w:eastAsia="仿宋" w:cs="仿宋"/>
                <w:sz w:val="24"/>
                <w:szCs w:val="24"/>
                <w:lang w:val="en-US" w:eastAsia="zh-CN"/>
              </w:rPr>
            </w:pPr>
            <w:r>
              <w:rPr>
                <w:rFonts w:hint="eastAsia" w:ascii="仿宋" w:hAnsi="仿宋" w:eastAsia="仿宋" w:cs="仿宋"/>
                <w:sz w:val="24"/>
                <w:szCs w:val="24"/>
              </w:rPr>
              <w:t>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供应商委托代理人</w:t>
            </w:r>
            <w:r>
              <w:rPr>
                <w:rFonts w:hint="eastAsia" w:ascii="仿宋" w:hAnsi="仿宋" w:eastAsia="仿宋" w:cs="仿宋"/>
                <w:sz w:val="24"/>
                <w:szCs w:val="24"/>
              </w:rPr>
              <w:t>提出异议（质疑）</w:t>
            </w:r>
            <w:r>
              <w:rPr>
                <w:rFonts w:hint="eastAsia" w:ascii="仿宋" w:hAnsi="仿宋" w:eastAsia="仿宋" w:cs="仿宋"/>
                <w:sz w:val="24"/>
                <w:szCs w:val="24"/>
                <w:lang w:val="en-US" w:eastAsia="zh-CN"/>
              </w:rPr>
              <w:t>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3C882C">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）书面异议（质疑）材料应当包括以下内容：</w:t>
            </w:r>
          </w:p>
          <w:p w14:paraId="3E82ACDE">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①提出异议（质疑）的供应商的名称、地址及有效联系方式；</w:t>
            </w:r>
          </w:p>
          <w:p w14:paraId="782BDE58">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②异议（质疑）对象的供应商的名称；</w:t>
            </w:r>
          </w:p>
          <w:p w14:paraId="1D67B3AD">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③异议（质疑）事项的基本事实；</w:t>
            </w:r>
          </w:p>
          <w:p w14:paraId="2DEA2A19">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④相关请求和主张；</w:t>
            </w:r>
          </w:p>
          <w:p w14:paraId="5E984AFC">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⑤有效线索和相关证明材料；</w:t>
            </w:r>
          </w:p>
          <w:p w14:paraId="108188C9">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⑥提出异议（质疑）的供应商是法人的，异议（质疑）材料必须由其法定代表人签字并加盖单位公章，并附法定代表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34B5C6E3">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）有下列情形的异议（质疑）材料不予受理：</w:t>
            </w:r>
          </w:p>
          <w:p w14:paraId="07BD198A">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①书面异议（质疑）材料不完整的；</w:t>
            </w:r>
          </w:p>
          <w:p w14:paraId="25D95339">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②异议（质疑）事项含有主观猜测等内容且无充分有效证据的；</w:t>
            </w:r>
          </w:p>
          <w:p w14:paraId="23D6670D">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③对其他供应商的响应文件详细内容异议（质疑），无法提供合法来源渠道的；</w:t>
            </w:r>
          </w:p>
          <w:p w14:paraId="51A680C0">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④违反相关法律法规的。</w:t>
            </w:r>
          </w:p>
          <w:p w14:paraId="4D1BAC4F">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）对于虚假、恶意异议（质疑）：</w:t>
            </w:r>
          </w:p>
          <w:p w14:paraId="69BF8D7D">
            <w:pPr>
              <w:pStyle w:val="10"/>
              <w:topLinePunct/>
              <w:snapToGrid w:val="0"/>
              <w:rPr>
                <w:rFonts w:hint="eastAsia" w:ascii="仿宋" w:hAnsi="仿宋" w:eastAsia="仿宋" w:cs="仿宋"/>
                <w:sz w:val="24"/>
                <w:szCs w:val="24"/>
              </w:rPr>
            </w:pPr>
            <w:r>
              <w:rPr>
                <w:rFonts w:hint="eastAsia" w:ascii="仿宋" w:hAnsi="仿宋" w:eastAsia="仿宋" w:cs="仿宋"/>
                <w:sz w:val="24"/>
                <w:szCs w:val="24"/>
              </w:rPr>
              <w:t>提出异议（质疑）的供应商不得以异议（质疑）为名进行虚假、恶意异议（质疑），干扰</w:t>
            </w:r>
            <w:r>
              <w:rPr>
                <w:rFonts w:hint="eastAsia" w:ascii="仿宋" w:hAnsi="仿宋" w:eastAsia="仿宋" w:cs="仿宋"/>
                <w:sz w:val="24"/>
                <w:szCs w:val="24"/>
                <w:lang w:val="en-US" w:eastAsia="zh-CN"/>
              </w:rPr>
              <w:t>询比</w:t>
            </w:r>
            <w:r>
              <w:rPr>
                <w:rFonts w:hint="eastAsia" w:ascii="仿宋" w:hAnsi="仿宋" w:eastAsia="仿宋" w:cs="仿宋"/>
                <w:sz w:val="24"/>
                <w:szCs w:val="24"/>
              </w:rPr>
              <w:t>采购活动的正常进行。对于提供虚假材料，以异议为名谋取成交或恶意异议扰乱</w:t>
            </w:r>
            <w:r>
              <w:rPr>
                <w:rFonts w:hint="eastAsia" w:ascii="仿宋" w:hAnsi="仿宋" w:eastAsia="仿宋" w:cs="仿宋"/>
                <w:sz w:val="24"/>
                <w:szCs w:val="24"/>
                <w:lang w:val="en-US" w:eastAsia="zh-CN"/>
              </w:rPr>
              <w:t>询比</w:t>
            </w:r>
            <w:r>
              <w:rPr>
                <w:rFonts w:hint="eastAsia" w:ascii="仿宋" w:hAnsi="仿宋" w:eastAsia="仿宋" w:cs="仿宋"/>
                <w:sz w:val="24"/>
                <w:szCs w:val="24"/>
              </w:rPr>
              <w:t>采购工作秩序的，采购代理机构将其记入“不守信投标记录档案”，并在相关网络平台公告，同时将报请行政监管部门处理。</w:t>
            </w:r>
          </w:p>
        </w:tc>
      </w:tr>
      <w:tr w14:paraId="41DF0B6D">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1132D66C">
            <w:pPr>
              <w:snapToGrid w:val="0"/>
              <w:jc w:val="center"/>
              <w:rPr>
                <w:rFonts w:hint="eastAsia" w:ascii="仿宋" w:hAnsi="仿宋" w:eastAsia="仿宋" w:cs="仿宋"/>
                <w:sz w:val="24"/>
                <w:szCs w:val="24"/>
              </w:rPr>
            </w:pPr>
            <w:r>
              <w:rPr>
                <w:rFonts w:hint="eastAsia" w:ascii="仿宋" w:hAnsi="仿宋" w:eastAsia="仿宋" w:cs="仿宋"/>
                <w:sz w:val="24"/>
                <w:szCs w:val="24"/>
              </w:rPr>
              <w:t>10.1</w:t>
            </w:r>
          </w:p>
        </w:tc>
        <w:tc>
          <w:tcPr>
            <w:tcW w:w="3211" w:type="dxa"/>
            <w:tcBorders>
              <w:top w:val="single" w:color="auto" w:sz="4" w:space="0"/>
              <w:left w:val="single" w:color="auto" w:sz="4" w:space="0"/>
              <w:bottom w:val="single" w:color="auto" w:sz="4" w:space="0"/>
              <w:right w:val="single" w:color="auto" w:sz="4" w:space="0"/>
            </w:tcBorders>
            <w:vAlign w:val="center"/>
          </w:tcPr>
          <w:p w14:paraId="1288F0B7">
            <w:pPr>
              <w:snapToGrid w:val="0"/>
              <w:jc w:val="center"/>
              <w:rPr>
                <w:rFonts w:hint="eastAsia" w:ascii="仿宋" w:hAnsi="仿宋" w:eastAsia="仿宋" w:cs="仿宋"/>
                <w:b/>
                <w:sz w:val="24"/>
                <w:szCs w:val="24"/>
              </w:rPr>
            </w:pPr>
            <w:r>
              <w:rPr>
                <w:rFonts w:hint="eastAsia" w:ascii="仿宋" w:hAnsi="仿宋" w:eastAsia="仿宋" w:cs="仿宋"/>
                <w:sz w:val="24"/>
                <w:szCs w:val="24"/>
              </w:rPr>
              <w:t>采购代理服务费</w:t>
            </w:r>
          </w:p>
        </w:tc>
        <w:tc>
          <w:tcPr>
            <w:tcW w:w="4536" w:type="dxa"/>
            <w:tcBorders>
              <w:top w:val="single" w:color="auto" w:sz="4" w:space="0"/>
              <w:left w:val="single" w:color="auto" w:sz="4" w:space="0"/>
              <w:bottom w:val="single" w:color="auto" w:sz="4" w:space="0"/>
              <w:right w:val="single" w:color="auto" w:sz="4" w:space="0"/>
            </w:tcBorders>
            <w:vAlign w:val="center"/>
          </w:tcPr>
          <w:p w14:paraId="4E0DFF71">
            <w:pPr>
              <w:pStyle w:val="10"/>
              <w:topLinePunct/>
              <w:snapToGrid w:val="0"/>
              <w:rPr>
                <w:rFonts w:hint="eastAsia" w:ascii="仿宋" w:hAnsi="仿宋" w:eastAsia="仿宋" w:cs="仿宋"/>
                <w:sz w:val="24"/>
                <w:szCs w:val="24"/>
              </w:rPr>
            </w:pPr>
            <w:r>
              <w:rPr>
                <w:rFonts w:hint="eastAsia" w:ascii="仿宋" w:hAnsi="仿宋" w:eastAsia="仿宋" w:cs="仿宋"/>
                <w:sz w:val="24"/>
                <w:szCs w:val="24"/>
              </w:rPr>
              <w:t>代理服务费：</w:t>
            </w:r>
            <w:r>
              <w:rPr>
                <w:rFonts w:hint="eastAsia" w:ascii="仿宋" w:hAnsi="仿宋" w:eastAsia="仿宋" w:cs="仿宋"/>
                <w:sz w:val="24"/>
                <w:szCs w:val="24"/>
                <w:lang w:val="en-US" w:eastAsia="zh-CN"/>
              </w:rPr>
              <w:t>30</w:t>
            </w:r>
            <w:r>
              <w:rPr>
                <w:rFonts w:hint="eastAsia" w:ascii="仿宋" w:hAnsi="仿宋" w:eastAsia="仿宋" w:cs="仿宋"/>
                <w:sz w:val="24"/>
                <w:szCs w:val="24"/>
              </w:rPr>
              <w:t>00元整（大写：</w:t>
            </w:r>
            <w:r>
              <w:rPr>
                <w:rFonts w:hint="eastAsia" w:ascii="仿宋" w:hAnsi="仿宋" w:eastAsia="仿宋" w:cs="仿宋"/>
                <w:sz w:val="24"/>
                <w:szCs w:val="24"/>
                <w:lang w:val="en-US" w:eastAsia="zh-CN"/>
              </w:rPr>
              <w:t>叁仟</w:t>
            </w:r>
            <w:r>
              <w:rPr>
                <w:rFonts w:hint="eastAsia" w:ascii="仿宋" w:hAnsi="仿宋" w:eastAsia="仿宋" w:cs="仿宋"/>
                <w:sz w:val="24"/>
                <w:szCs w:val="24"/>
              </w:rPr>
              <w:t>元整），由成交人在领取成交通知书前汇到以下账户：</w:t>
            </w:r>
          </w:p>
          <w:p w14:paraId="171EDB15">
            <w:pPr>
              <w:pStyle w:val="10"/>
              <w:topLinePunct/>
              <w:snapToGrid w:val="0"/>
              <w:rPr>
                <w:rFonts w:hint="eastAsia" w:ascii="仿宋" w:hAnsi="仿宋" w:eastAsia="仿宋" w:cs="仿宋"/>
                <w:sz w:val="24"/>
                <w:szCs w:val="24"/>
              </w:rPr>
            </w:pPr>
            <w:r>
              <w:rPr>
                <w:rFonts w:hint="eastAsia" w:ascii="仿宋" w:hAnsi="仿宋" w:eastAsia="仿宋" w:cs="仿宋"/>
                <w:sz w:val="24"/>
                <w:szCs w:val="24"/>
              </w:rPr>
              <w:t>收款账户：安徽省招标集团股份有限公司</w:t>
            </w:r>
          </w:p>
          <w:p w14:paraId="17507F21">
            <w:pPr>
              <w:pStyle w:val="10"/>
              <w:topLinePunct/>
              <w:snapToGrid w:val="0"/>
              <w:rPr>
                <w:rFonts w:hint="eastAsia" w:ascii="仿宋" w:hAnsi="仿宋" w:eastAsia="仿宋" w:cs="仿宋"/>
                <w:sz w:val="24"/>
                <w:szCs w:val="24"/>
              </w:rPr>
            </w:pPr>
            <w:r>
              <w:rPr>
                <w:rFonts w:hint="eastAsia" w:ascii="仿宋" w:hAnsi="仿宋" w:eastAsia="仿宋" w:cs="仿宋"/>
                <w:sz w:val="24"/>
                <w:szCs w:val="24"/>
              </w:rPr>
              <w:t>账号：3400 1474 7080 5004 3497</w:t>
            </w:r>
          </w:p>
          <w:p w14:paraId="3D09073D">
            <w:pPr>
              <w:pStyle w:val="10"/>
              <w:topLinePunct/>
              <w:snapToGrid w:val="0"/>
              <w:rPr>
                <w:rFonts w:hint="eastAsia" w:ascii="仿宋" w:hAnsi="仿宋" w:eastAsia="仿宋" w:cs="仿宋"/>
                <w:sz w:val="24"/>
                <w:szCs w:val="24"/>
              </w:rPr>
            </w:pPr>
            <w:r>
              <w:rPr>
                <w:rFonts w:hint="eastAsia" w:ascii="仿宋" w:hAnsi="仿宋" w:eastAsia="仿宋" w:cs="仿宋"/>
                <w:sz w:val="24"/>
                <w:szCs w:val="24"/>
              </w:rPr>
              <w:t>开户行：中国建设银行合肥市滨湖新区支行</w:t>
            </w:r>
          </w:p>
          <w:p w14:paraId="1F646A73">
            <w:pPr>
              <w:pStyle w:val="10"/>
              <w:topLinePunct/>
              <w:snapToGrid w:val="0"/>
              <w:rPr>
                <w:rFonts w:hint="eastAsia" w:ascii="仿宋" w:hAnsi="仿宋" w:eastAsia="仿宋" w:cs="仿宋"/>
                <w:sz w:val="24"/>
                <w:szCs w:val="24"/>
              </w:rPr>
            </w:pPr>
            <w:r>
              <w:rPr>
                <w:rFonts w:hint="eastAsia" w:ascii="仿宋" w:hAnsi="仿宋" w:eastAsia="仿宋" w:cs="仿宋"/>
                <w:sz w:val="24"/>
                <w:szCs w:val="24"/>
                <w:lang w:val="en-US" w:eastAsia="zh-CN"/>
              </w:rPr>
              <w:t>注：①</w:t>
            </w:r>
            <w:r>
              <w:rPr>
                <w:rFonts w:hint="eastAsia" w:ascii="仿宋" w:hAnsi="仿宋" w:eastAsia="仿宋" w:cs="仿宋"/>
                <w:sz w:val="24"/>
                <w:szCs w:val="24"/>
              </w:rPr>
              <w:t>支付时请备注项目编号；</w:t>
            </w:r>
            <w:r>
              <w:rPr>
                <w:rFonts w:hint="eastAsia" w:ascii="仿宋" w:hAnsi="仿宋" w:eastAsia="仿宋" w:cs="仿宋"/>
                <w:sz w:val="24"/>
                <w:szCs w:val="24"/>
                <w:lang w:val="en-US" w:eastAsia="zh-CN"/>
              </w:rPr>
              <w:t>②若本项目收取响应保证金，则</w:t>
            </w:r>
            <w:r>
              <w:rPr>
                <w:rFonts w:hint="eastAsia" w:ascii="仿宋" w:hAnsi="仿宋" w:eastAsia="仿宋" w:cs="仿宋"/>
                <w:sz w:val="24"/>
                <w:szCs w:val="24"/>
              </w:rPr>
              <w:t>保证金</w:t>
            </w:r>
            <w:r>
              <w:rPr>
                <w:rFonts w:hint="eastAsia" w:ascii="仿宋" w:hAnsi="仿宋" w:eastAsia="仿宋" w:cs="仿宋"/>
                <w:sz w:val="24"/>
                <w:szCs w:val="24"/>
                <w:lang w:val="en-US" w:eastAsia="zh-CN"/>
              </w:rPr>
              <w:t>可转为代理服务费。</w:t>
            </w:r>
          </w:p>
        </w:tc>
      </w:tr>
      <w:tr w14:paraId="0C75D9E5">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0E580E57">
            <w:pPr>
              <w:snapToGrid w:val="0"/>
              <w:jc w:val="center"/>
              <w:rPr>
                <w:rFonts w:hint="eastAsia" w:ascii="仿宋" w:hAnsi="仿宋" w:eastAsia="仿宋" w:cs="仿宋"/>
                <w:sz w:val="24"/>
                <w:szCs w:val="24"/>
              </w:rPr>
            </w:pPr>
            <w:r>
              <w:rPr>
                <w:rFonts w:hint="eastAsia" w:ascii="仿宋" w:hAnsi="仿宋" w:eastAsia="仿宋" w:cs="仿宋"/>
                <w:sz w:val="24"/>
                <w:szCs w:val="24"/>
              </w:rPr>
              <w:t>10.2</w:t>
            </w:r>
          </w:p>
        </w:tc>
        <w:tc>
          <w:tcPr>
            <w:tcW w:w="3211" w:type="dxa"/>
            <w:tcBorders>
              <w:top w:val="single" w:color="auto" w:sz="4" w:space="0"/>
              <w:left w:val="single" w:color="auto" w:sz="4" w:space="0"/>
              <w:bottom w:val="single" w:color="auto" w:sz="4" w:space="0"/>
              <w:right w:val="single" w:color="auto" w:sz="4" w:space="0"/>
            </w:tcBorders>
            <w:vAlign w:val="center"/>
          </w:tcPr>
          <w:p w14:paraId="411241E9">
            <w:pPr>
              <w:snapToGrid w:val="0"/>
              <w:jc w:val="center"/>
              <w:rPr>
                <w:rFonts w:hint="eastAsia" w:ascii="仿宋" w:hAnsi="仿宋" w:eastAsia="仿宋" w:cs="仿宋"/>
                <w:sz w:val="24"/>
                <w:szCs w:val="24"/>
              </w:rPr>
            </w:pPr>
            <w:r>
              <w:rPr>
                <w:rFonts w:hint="eastAsia" w:ascii="仿宋" w:hAnsi="仿宋" w:eastAsia="仿宋" w:cs="仿宋"/>
                <w:color w:val="000000"/>
                <w:sz w:val="24"/>
                <w:szCs w:val="24"/>
              </w:rPr>
              <w:t>需要补充的其他内容</w:t>
            </w:r>
          </w:p>
        </w:tc>
        <w:tc>
          <w:tcPr>
            <w:tcW w:w="4536" w:type="dxa"/>
            <w:tcBorders>
              <w:top w:val="single" w:color="auto" w:sz="4" w:space="0"/>
              <w:left w:val="single" w:color="auto" w:sz="4" w:space="0"/>
              <w:bottom w:val="single" w:color="auto" w:sz="4" w:space="0"/>
              <w:right w:val="single" w:color="auto" w:sz="4" w:space="0"/>
            </w:tcBorders>
            <w:vAlign w:val="center"/>
          </w:tcPr>
          <w:p w14:paraId="6660C261">
            <w:pPr>
              <w:snapToGrid w:val="0"/>
              <w:rPr>
                <w:rFonts w:hint="eastAsia" w:ascii="仿宋" w:hAnsi="仿宋" w:eastAsia="仿宋" w:cs="仿宋"/>
                <w:color w:val="000000"/>
                <w:sz w:val="24"/>
                <w:szCs w:val="24"/>
              </w:rPr>
            </w:pPr>
            <w:r>
              <w:rPr>
                <w:rFonts w:hint="eastAsia" w:ascii="Times New Roman" w:hAnsi="Times New Roman" w:eastAsia="宋体"/>
                <w:color w:val="auto"/>
                <w:highlight w:val="none"/>
              </w:rPr>
              <w:t>/</w:t>
            </w:r>
          </w:p>
        </w:tc>
      </w:tr>
      <w:tr w14:paraId="7B4C5F76">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70CA0704">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10.2</w:t>
            </w:r>
            <w:r>
              <w:rPr>
                <w:rFonts w:hint="eastAsia" w:ascii="仿宋" w:hAnsi="仿宋" w:eastAsia="仿宋" w:cs="仿宋"/>
                <w:sz w:val="24"/>
                <w:szCs w:val="24"/>
                <w:lang w:val="en-US" w:eastAsia="zh-CN"/>
              </w:rPr>
              <w:t>.1</w:t>
            </w:r>
          </w:p>
        </w:tc>
        <w:tc>
          <w:tcPr>
            <w:tcW w:w="3211" w:type="dxa"/>
            <w:tcBorders>
              <w:top w:val="single" w:color="auto" w:sz="4" w:space="0"/>
              <w:left w:val="single" w:color="auto" w:sz="4" w:space="0"/>
              <w:bottom w:val="single" w:color="auto" w:sz="4" w:space="0"/>
              <w:right w:val="single" w:color="auto" w:sz="4" w:space="0"/>
            </w:tcBorders>
            <w:vAlign w:val="center"/>
          </w:tcPr>
          <w:p w14:paraId="06CA45D6">
            <w:pPr>
              <w:snapToGrid w:val="0"/>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同义词语</w:t>
            </w:r>
          </w:p>
        </w:tc>
        <w:tc>
          <w:tcPr>
            <w:tcW w:w="4536" w:type="dxa"/>
            <w:tcBorders>
              <w:top w:val="single" w:color="auto" w:sz="4" w:space="0"/>
              <w:left w:val="single" w:color="auto" w:sz="4" w:space="0"/>
              <w:bottom w:val="single" w:color="auto" w:sz="4" w:space="0"/>
              <w:right w:val="single" w:color="auto" w:sz="4" w:space="0"/>
            </w:tcBorders>
            <w:vAlign w:val="center"/>
          </w:tcPr>
          <w:p w14:paraId="27E892D2">
            <w:pPr>
              <w:widowControl/>
              <w:snapToGrid w:val="0"/>
              <w:spacing w:line="360" w:lineRule="auto"/>
              <w:jc w:val="left"/>
              <w:rPr>
                <w:rFonts w:hint="eastAsia" w:ascii="仿宋" w:hAnsi="仿宋" w:eastAsia="仿宋" w:cs="仿宋"/>
                <w:kern w:val="2"/>
                <w:sz w:val="24"/>
                <w:szCs w:val="24"/>
                <w:lang w:val="en-US" w:eastAsia="zh-CN" w:bidi="ar-SA"/>
              </w:rPr>
            </w:pPr>
            <w:r>
              <w:rPr>
                <w:rFonts w:hint="eastAsia" w:ascii="Times New Roman" w:hAnsi="Times New Roman" w:eastAsia="仿宋" w:cs="Times New Roman"/>
                <w:sz w:val="24"/>
                <w:szCs w:val="24"/>
              </w:rPr>
              <w:t>构成</w:t>
            </w:r>
            <w:r>
              <w:rPr>
                <w:rFonts w:hint="eastAsia" w:ascii="Times New Roman" w:hAnsi="Times New Roman" w:eastAsia="仿宋" w:cs="Times New Roman"/>
                <w:sz w:val="24"/>
                <w:szCs w:val="24"/>
                <w:lang w:val="en-US" w:eastAsia="zh-CN"/>
              </w:rPr>
              <w:t>询比采购</w:t>
            </w:r>
            <w:r>
              <w:rPr>
                <w:rFonts w:hint="eastAsia" w:ascii="Times New Roman" w:hAnsi="Times New Roman" w:eastAsia="仿宋" w:cs="Times New Roman"/>
                <w:sz w:val="24"/>
                <w:szCs w:val="24"/>
              </w:rPr>
              <w:t>文件组成部分的“合同条款”和“</w:t>
            </w:r>
            <w:r>
              <w:rPr>
                <w:rFonts w:hint="eastAsia" w:ascii="Times New Roman" w:hAnsi="Times New Roman" w:eastAsia="仿宋" w:cs="Times New Roman"/>
                <w:sz w:val="24"/>
                <w:szCs w:val="24"/>
                <w:lang w:val="en-US" w:eastAsia="zh-CN"/>
              </w:rPr>
              <w:t>服务需求</w:t>
            </w:r>
            <w:r>
              <w:rPr>
                <w:rFonts w:hint="eastAsia" w:ascii="Times New Roman" w:hAnsi="Times New Roman" w:eastAsia="仿宋" w:cs="Times New Roman"/>
                <w:sz w:val="24"/>
                <w:szCs w:val="24"/>
              </w:rPr>
              <w:t>”等章节中“发包人”和“</w:t>
            </w:r>
            <w:r>
              <w:rPr>
                <w:rFonts w:hint="eastAsia" w:ascii="Times New Roman" w:hAnsi="Times New Roman" w:eastAsia="仿宋" w:cs="Times New Roman"/>
                <w:sz w:val="24"/>
                <w:szCs w:val="24"/>
                <w:lang w:val="en-US" w:eastAsia="zh-CN"/>
              </w:rPr>
              <w:t>承包人</w:t>
            </w:r>
            <w:r>
              <w:rPr>
                <w:rFonts w:hint="eastAsia" w:ascii="Times New Roman" w:hAnsi="Times New Roman" w:eastAsia="仿宋" w:cs="Times New Roman"/>
                <w:sz w:val="24"/>
                <w:szCs w:val="24"/>
              </w:rPr>
              <w:t>”“</w:t>
            </w:r>
            <w:r>
              <w:rPr>
                <w:rFonts w:hint="eastAsia" w:ascii="Times New Roman" w:hAnsi="Times New Roman" w:eastAsia="仿宋" w:cs="Times New Roman"/>
                <w:sz w:val="24"/>
                <w:szCs w:val="24"/>
                <w:lang w:val="en-US" w:eastAsia="zh-CN"/>
              </w:rPr>
              <w:t>甲方</w:t>
            </w:r>
            <w:r>
              <w:rPr>
                <w:rFonts w:hint="eastAsia" w:ascii="Times New Roman" w:hAnsi="Times New Roman" w:eastAsia="仿宋" w:cs="Times New Roman"/>
                <w:sz w:val="24"/>
                <w:szCs w:val="24"/>
              </w:rPr>
              <w:t>”和“</w:t>
            </w:r>
            <w:r>
              <w:rPr>
                <w:rFonts w:hint="eastAsia" w:ascii="Times New Roman" w:hAnsi="Times New Roman" w:eastAsia="仿宋" w:cs="Times New Roman"/>
                <w:sz w:val="24"/>
                <w:szCs w:val="24"/>
                <w:lang w:val="en-US" w:eastAsia="zh-CN"/>
              </w:rPr>
              <w:t>乙方</w:t>
            </w:r>
            <w:r>
              <w:rPr>
                <w:rFonts w:hint="eastAsia" w:ascii="Times New Roman" w:hAnsi="Times New Roman" w:eastAsia="仿宋" w:cs="Times New Roman"/>
                <w:sz w:val="24"/>
                <w:szCs w:val="24"/>
              </w:rPr>
              <w:t>”，</w:t>
            </w:r>
            <w:r>
              <w:rPr>
                <w:rFonts w:hint="eastAsia" w:ascii="仿宋" w:hAnsi="仿宋" w:eastAsia="仿宋" w:cs="仿宋"/>
                <w:sz w:val="24"/>
                <w:szCs w:val="24"/>
              </w:rPr>
              <w:t>等同于</w:t>
            </w:r>
            <w:r>
              <w:rPr>
                <w:rFonts w:hint="eastAsia" w:ascii="仿宋" w:hAnsi="仿宋" w:eastAsia="仿宋" w:cs="仿宋"/>
                <w:sz w:val="24"/>
                <w:szCs w:val="24"/>
                <w:lang w:val="en-US" w:eastAsia="zh-CN"/>
              </w:rPr>
              <w:t>询比采购</w:t>
            </w:r>
            <w:r>
              <w:rPr>
                <w:rFonts w:hint="eastAsia" w:ascii="仿宋" w:hAnsi="仿宋" w:eastAsia="仿宋" w:cs="仿宋"/>
                <w:sz w:val="24"/>
                <w:szCs w:val="24"/>
              </w:rPr>
              <w:t>阶段的“</w:t>
            </w:r>
            <w:r>
              <w:rPr>
                <w:rFonts w:hint="eastAsia" w:ascii="仿宋" w:hAnsi="仿宋" w:eastAsia="仿宋" w:cs="仿宋"/>
                <w:sz w:val="24"/>
                <w:szCs w:val="24"/>
                <w:lang w:val="en-US" w:eastAsia="zh-CN"/>
              </w:rPr>
              <w:t>采购人</w:t>
            </w:r>
            <w:r>
              <w:rPr>
                <w:rFonts w:hint="eastAsia" w:ascii="仿宋" w:hAnsi="仿宋" w:eastAsia="仿宋" w:cs="仿宋"/>
                <w:sz w:val="24"/>
                <w:szCs w:val="24"/>
              </w:rPr>
              <w:t>”和“</w:t>
            </w:r>
            <w:r>
              <w:rPr>
                <w:rFonts w:hint="eastAsia" w:ascii="仿宋" w:hAnsi="仿宋" w:eastAsia="仿宋" w:cs="仿宋"/>
                <w:sz w:val="24"/>
                <w:szCs w:val="24"/>
                <w:lang w:val="en-US" w:eastAsia="zh-CN"/>
              </w:rPr>
              <w:t>供应商</w:t>
            </w:r>
            <w:r>
              <w:rPr>
                <w:rFonts w:hint="eastAsia" w:ascii="仿宋" w:hAnsi="仿宋" w:eastAsia="仿宋" w:cs="仿宋"/>
                <w:sz w:val="24"/>
                <w:szCs w:val="24"/>
              </w:rPr>
              <w:t>/</w:t>
            </w:r>
            <w:r>
              <w:rPr>
                <w:rFonts w:hint="eastAsia" w:ascii="仿宋" w:hAnsi="仿宋" w:eastAsia="仿宋" w:cs="仿宋"/>
                <w:sz w:val="24"/>
                <w:szCs w:val="24"/>
                <w:lang w:val="en-US" w:eastAsia="zh-CN"/>
              </w:rPr>
              <w:t>成交供应商</w:t>
            </w:r>
            <w:r>
              <w:rPr>
                <w:rFonts w:hint="eastAsia" w:ascii="仿宋" w:hAnsi="仿宋" w:eastAsia="仿宋" w:cs="仿宋"/>
                <w:sz w:val="24"/>
                <w:szCs w:val="24"/>
              </w:rPr>
              <w:t>”。</w:t>
            </w:r>
          </w:p>
        </w:tc>
      </w:tr>
      <w:tr w14:paraId="3B8058FC">
        <w:tblPrEx>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14:paraId="56EB76C0">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r>
              <w:rPr>
                <w:rFonts w:hint="eastAsia" w:ascii="仿宋" w:hAnsi="仿宋" w:eastAsia="仿宋" w:cs="仿宋"/>
                <w:sz w:val="24"/>
                <w:szCs w:val="24"/>
                <w:lang w:val="en-US" w:eastAsia="zh-CN"/>
              </w:rPr>
              <w:t>2.2</w:t>
            </w:r>
          </w:p>
        </w:tc>
        <w:tc>
          <w:tcPr>
            <w:tcW w:w="3211" w:type="dxa"/>
            <w:tcBorders>
              <w:top w:val="single" w:color="auto" w:sz="4" w:space="0"/>
              <w:left w:val="single" w:color="auto" w:sz="4" w:space="0"/>
              <w:bottom w:val="single" w:color="auto" w:sz="4" w:space="0"/>
              <w:right w:val="single" w:color="auto" w:sz="4" w:space="0"/>
            </w:tcBorders>
            <w:vAlign w:val="center"/>
          </w:tcPr>
          <w:p w14:paraId="6BDAE97A">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解释权</w:t>
            </w:r>
          </w:p>
        </w:tc>
        <w:tc>
          <w:tcPr>
            <w:tcW w:w="4536" w:type="dxa"/>
            <w:tcBorders>
              <w:top w:val="single" w:color="auto" w:sz="4" w:space="0"/>
              <w:left w:val="single" w:color="auto" w:sz="4" w:space="0"/>
              <w:bottom w:val="single" w:color="auto" w:sz="4" w:space="0"/>
              <w:right w:val="single" w:color="auto" w:sz="4" w:space="0"/>
            </w:tcBorders>
            <w:vAlign w:val="center"/>
          </w:tcPr>
          <w:p w14:paraId="7750F5FB">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（1）构成本</w:t>
            </w:r>
            <w:r>
              <w:rPr>
                <w:rFonts w:hint="eastAsia" w:ascii="仿宋" w:hAnsi="仿宋" w:eastAsia="仿宋" w:cs="仿宋"/>
                <w:sz w:val="24"/>
                <w:szCs w:val="24"/>
                <w:lang w:eastAsia="zh-CN"/>
              </w:rPr>
              <w:t>询比</w:t>
            </w:r>
            <w:r>
              <w:rPr>
                <w:rFonts w:hint="eastAsia" w:ascii="仿宋" w:hAnsi="仿宋" w:eastAsia="仿宋" w:cs="仿宋"/>
                <w:sz w:val="24"/>
                <w:szCs w:val="24"/>
                <w:lang w:val="en-US" w:eastAsia="zh-CN"/>
              </w:rPr>
              <w:t>采购</w:t>
            </w:r>
            <w:r>
              <w:rPr>
                <w:rFonts w:hint="eastAsia" w:ascii="仿宋" w:hAnsi="仿宋" w:eastAsia="仿宋" w:cs="仿宋"/>
                <w:sz w:val="24"/>
                <w:szCs w:val="24"/>
              </w:rPr>
              <w:t>文件的各个组成文件应互为解释，互为说明；</w:t>
            </w:r>
          </w:p>
          <w:p w14:paraId="32E609C0">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（2）同一组成文件中就同一事项的规定或约定不一致的，以编排顺序在后者为准；</w:t>
            </w:r>
          </w:p>
          <w:p w14:paraId="4194BD54">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（3）如有不明确或不一致，构成合同文件组成内容的，以合同文件约定内容为准，且以专用合同条款约定的合同文件优先顺序解释；</w:t>
            </w:r>
          </w:p>
          <w:p w14:paraId="22E9A92E">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（4）除</w:t>
            </w:r>
            <w:r>
              <w:rPr>
                <w:rFonts w:hint="eastAsia" w:ascii="仿宋" w:hAnsi="仿宋" w:eastAsia="仿宋" w:cs="仿宋"/>
                <w:sz w:val="24"/>
                <w:szCs w:val="24"/>
                <w:lang w:eastAsia="zh-CN"/>
              </w:rPr>
              <w:t>询比</w:t>
            </w:r>
            <w:r>
              <w:rPr>
                <w:rFonts w:hint="eastAsia" w:ascii="仿宋" w:hAnsi="仿宋" w:eastAsia="仿宋" w:cs="仿宋"/>
                <w:sz w:val="24"/>
                <w:szCs w:val="24"/>
                <w:lang w:val="en-US" w:eastAsia="zh-CN"/>
              </w:rPr>
              <w:t>采购</w:t>
            </w:r>
            <w:r>
              <w:rPr>
                <w:rFonts w:hint="eastAsia" w:ascii="仿宋" w:hAnsi="仿宋" w:eastAsia="仿宋" w:cs="仿宋"/>
                <w:sz w:val="24"/>
                <w:szCs w:val="24"/>
              </w:rPr>
              <w:t>文件中有特别规定外，仅适用于</w:t>
            </w:r>
            <w:r>
              <w:rPr>
                <w:rFonts w:hint="eastAsia" w:ascii="仿宋" w:hAnsi="仿宋" w:eastAsia="仿宋" w:cs="仿宋"/>
                <w:sz w:val="24"/>
                <w:szCs w:val="24"/>
                <w:lang w:eastAsia="zh-CN"/>
              </w:rPr>
              <w:t>询比</w:t>
            </w:r>
            <w:r>
              <w:rPr>
                <w:rFonts w:hint="eastAsia" w:ascii="仿宋" w:hAnsi="仿宋" w:eastAsia="仿宋" w:cs="仿宋"/>
                <w:sz w:val="24"/>
                <w:szCs w:val="24"/>
              </w:rPr>
              <w:t>阶段的规定，按照</w:t>
            </w:r>
            <w:r>
              <w:rPr>
                <w:rFonts w:hint="eastAsia" w:ascii="仿宋" w:hAnsi="仿宋" w:eastAsia="仿宋" w:cs="仿宋"/>
                <w:sz w:val="24"/>
                <w:szCs w:val="24"/>
                <w:lang w:eastAsia="zh-CN"/>
              </w:rPr>
              <w:t>询比</w:t>
            </w:r>
            <w:r>
              <w:rPr>
                <w:rFonts w:hint="eastAsia" w:ascii="仿宋" w:hAnsi="仿宋" w:eastAsia="仿宋" w:cs="仿宋"/>
                <w:sz w:val="24"/>
                <w:szCs w:val="24"/>
                <w:lang w:val="en-US" w:eastAsia="zh-CN"/>
              </w:rPr>
              <w:t>采购</w:t>
            </w:r>
            <w:r>
              <w:rPr>
                <w:rFonts w:hint="eastAsia" w:ascii="仿宋" w:hAnsi="仿宋" w:eastAsia="仿宋" w:cs="仿宋"/>
                <w:sz w:val="24"/>
                <w:szCs w:val="24"/>
              </w:rPr>
              <w:t>公告、</w:t>
            </w:r>
            <w:r>
              <w:rPr>
                <w:rFonts w:hint="eastAsia" w:ascii="仿宋" w:hAnsi="仿宋" w:eastAsia="仿宋" w:cs="仿宋"/>
                <w:sz w:val="24"/>
                <w:szCs w:val="24"/>
                <w:lang w:val="en-US" w:eastAsia="zh-CN"/>
              </w:rPr>
              <w:t>供应商</w:t>
            </w:r>
            <w:r>
              <w:rPr>
                <w:rFonts w:hint="eastAsia" w:ascii="仿宋" w:hAnsi="仿宋" w:eastAsia="仿宋" w:cs="仿宋"/>
                <w:sz w:val="24"/>
                <w:szCs w:val="24"/>
              </w:rPr>
              <w:t>须知、评</w:t>
            </w:r>
            <w:r>
              <w:rPr>
                <w:rFonts w:hint="eastAsia" w:ascii="仿宋" w:hAnsi="仿宋" w:eastAsia="仿宋" w:cs="仿宋"/>
                <w:sz w:val="24"/>
                <w:szCs w:val="24"/>
                <w:lang w:val="en-US" w:eastAsia="zh-CN"/>
              </w:rPr>
              <w:t>审</w:t>
            </w:r>
            <w:r>
              <w:rPr>
                <w:rFonts w:hint="eastAsia" w:ascii="仿宋" w:hAnsi="仿宋" w:eastAsia="仿宋" w:cs="仿宋"/>
                <w:sz w:val="24"/>
                <w:szCs w:val="24"/>
              </w:rPr>
              <w:t>办法、</w:t>
            </w:r>
            <w:r>
              <w:rPr>
                <w:rFonts w:hint="eastAsia" w:ascii="仿宋" w:hAnsi="仿宋" w:eastAsia="仿宋" w:cs="仿宋"/>
                <w:sz w:val="24"/>
                <w:szCs w:val="24"/>
                <w:lang w:val="en-US" w:eastAsia="zh-CN"/>
              </w:rPr>
              <w:t>相应</w:t>
            </w:r>
            <w:r>
              <w:rPr>
                <w:rFonts w:hint="eastAsia" w:ascii="仿宋" w:hAnsi="仿宋" w:eastAsia="仿宋" w:cs="仿宋"/>
                <w:sz w:val="24"/>
                <w:szCs w:val="24"/>
              </w:rPr>
              <w:t>文件格式的先后顺序解释；</w:t>
            </w:r>
          </w:p>
          <w:p w14:paraId="682F115F">
            <w:pPr>
              <w:tabs>
                <w:tab w:val="left" w:pos="6255"/>
              </w:tabs>
              <w:spacing w:line="48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（5）按照本款前述规定仍不能形成结论的，由</w:t>
            </w:r>
            <w:r>
              <w:rPr>
                <w:rFonts w:hint="eastAsia" w:ascii="仿宋" w:hAnsi="仿宋" w:eastAsia="仿宋" w:cs="仿宋"/>
                <w:sz w:val="24"/>
                <w:szCs w:val="24"/>
                <w:lang w:val="en-US" w:eastAsia="zh-CN"/>
              </w:rPr>
              <w:t>采购人</w:t>
            </w:r>
            <w:r>
              <w:rPr>
                <w:rFonts w:hint="eastAsia" w:ascii="仿宋" w:hAnsi="仿宋" w:eastAsia="仿宋" w:cs="仿宋"/>
                <w:sz w:val="24"/>
                <w:szCs w:val="24"/>
              </w:rPr>
              <w:t>负责解释。</w:t>
            </w:r>
          </w:p>
        </w:tc>
      </w:tr>
    </w:tbl>
    <w:p w14:paraId="26DC4EC7">
      <w:pPr>
        <w:spacing w:line="400" w:lineRule="exact"/>
        <w:rPr>
          <w:rFonts w:hint="eastAsia" w:ascii="仿宋" w:hAnsi="仿宋" w:eastAsia="仿宋" w:cs="仿宋"/>
        </w:rPr>
      </w:pPr>
    </w:p>
    <w:p w14:paraId="216A60B2">
      <w:pPr>
        <w:spacing w:line="400" w:lineRule="exact"/>
        <w:rPr>
          <w:rFonts w:ascii="Times New Roman" w:hAnsi="Times New Roman"/>
          <w:color w:val="C00000"/>
        </w:rPr>
      </w:pPr>
      <w:r>
        <w:rPr>
          <w:rFonts w:ascii="Times New Roman" w:hAnsi="Times New Roman"/>
          <w:color w:val="C00000"/>
        </w:rPr>
        <w:br w:type="page"/>
      </w:r>
    </w:p>
    <w:p w14:paraId="25628B1C">
      <w:pPr>
        <w:pStyle w:val="3"/>
        <w:rPr>
          <w:rFonts w:hint="eastAsia" w:ascii="仿宋" w:hAnsi="仿宋" w:eastAsia="仿宋" w:cs="仿宋"/>
          <w:color w:val="000000"/>
        </w:rPr>
      </w:pPr>
      <w:bookmarkStart w:id="109" w:name="_Toc32657"/>
      <w:bookmarkStart w:id="110" w:name="_Toc501460650"/>
      <w:r>
        <w:rPr>
          <w:rFonts w:hint="eastAsia" w:ascii="仿宋" w:hAnsi="仿宋" w:eastAsia="仿宋" w:cs="仿宋"/>
          <w:color w:val="000000"/>
        </w:rPr>
        <w:t>1. 总则</w:t>
      </w:r>
      <w:bookmarkEnd w:id="109"/>
      <w:bookmarkEnd w:id="110"/>
    </w:p>
    <w:p w14:paraId="36FC6C58">
      <w:pPr>
        <w:pStyle w:val="4"/>
        <w:spacing w:line="240" w:lineRule="auto"/>
        <w:ind w:firstLine="137"/>
        <w:rPr>
          <w:rFonts w:hint="eastAsia" w:ascii="仿宋" w:hAnsi="仿宋" w:eastAsia="仿宋" w:cs="仿宋"/>
          <w:color w:val="000000"/>
        </w:rPr>
      </w:pPr>
      <w:bookmarkStart w:id="111" w:name="_Toc14826"/>
      <w:bookmarkStart w:id="112" w:name="_Toc501460651"/>
      <w:r>
        <w:rPr>
          <w:rFonts w:hint="eastAsia" w:ascii="仿宋" w:hAnsi="仿宋" w:eastAsia="仿宋" w:cs="仿宋"/>
          <w:color w:val="000000"/>
        </w:rPr>
        <w:t>1.1 采购方式</w:t>
      </w:r>
      <w:bookmarkEnd w:id="111"/>
    </w:p>
    <w:p w14:paraId="34889980">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询比采购是指采购人组建评审小组与响应采购的供应商按照采购文件规定的规则和时间一次递交的响应文件进行评审，采购人根据评审小组的评审结果，选择确定成交供应商的采购方式。</w:t>
      </w:r>
    </w:p>
    <w:p w14:paraId="46E28B52">
      <w:pPr>
        <w:pStyle w:val="4"/>
        <w:spacing w:line="240" w:lineRule="auto"/>
        <w:ind w:firstLine="137"/>
        <w:rPr>
          <w:rFonts w:hint="eastAsia" w:ascii="仿宋" w:hAnsi="仿宋" w:eastAsia="仿宋" w:cs="仿宋"/>
          <w:color w:val="000000"/>
        </w:rPr>
      </w:pPr>
      <w:bookmarkStart w:id="113" w:name="_Toc12785"/>
      <w:r>
        <w:rPr>
          <w:rFonts w:hint="eastAsia" w:ascii="仿宋" w:hAnsi="仿宋" w:eastAsia="仿宋" w:cs="仿宋"/>
          <w:color w:val="000000"/>
        </w:rPr>
        <w:t>1.2 采购项目概况</w:t>
      </w:r>
      <w:bookmarkEnd w:id="112"/>
      <w:r>
        <w:rPr>
          <w:rFonts w:hint="eastAsia" w:ascii="仿宋" w:hAnsi="仿宋" w:eastAsia="仿宋" w:cs="仿宋"/>
          <w:color w:val="000000"/>
        </w:rPr>
        <w:t>和供应商资格要求</w:t>
      </w:r>
      <w:bookmarkEnd w:id="113"/>
    </w:p>
    <w:p w14:paraId="51F78AE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1.2.1 供应商</w:t>
      </w:r>
      <w:r>
        <w:rPr>
          <w:rFonts w:hint="eastAsia" w:ascii="仿宋" w:hAnsi="仿宋" w:eastAsia="仿宋" w:cs="仿宋"/>
          <w:color w:val="auto"/>
          <w:sz w:val="24"/>
          <w:szCs w:val="24"/>
        </w:rPr>
        <w:t>应具备承担本</w:t>
      </w:r>
      <w:r>
        <w:rPr>
          <w:rFonts w:hint="eastAsia" w:ascii="仿宋" w:hAnsi="仿宋" w:eastAsia="仿宋" w:cs="仿宋"/>
          <w:color w:val="auto"/>
          <w:sz w:val="24"/>
          <w:szCs w:val="24"/>
          <w:lang w:val="en-US" w:eastAsia="zh-CN"/>
        </w:rPr>
        <w:t>采购包</w:t>
      </w:r>
      <w:r>
        <w:rPr>
          <w:rFonts w:hint="eastAsia" w:ascii="仿宋" w:hAnsi="仿宋" w:eastAsia="仿宋" w:cs="仿宋"/>
          <w:color w:val="auto"/>
          <w:sz w:val="24"/>
          <w:szCs w:val="24"/>
        </w:rPr>
        <w:t>的资质条件、能力和信誉：</w:t>
      </w:r>
    </w:p>
    <w:p w14:paraId="21FC9F4B">
      <w:pPr>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rPr>
        <w:t>资质要求：</w:t>
      </w:r>
      <w:r>
        <w:rPr>
          <w:rFonts w:hint="eastAsia" w:ascii="仿宋" w:hAnsi="仿宋" w:eastAsia="仿宋" w:cs="仿宋"/>
          <w:color w:val="auto"/>
          <w:sz w:val="24"/>
          <w:szCs w:val="24"/>
          <w:highlight w:val="none"/>
          <w:lang w:val="en-US" w:eastAsia="zh-CN"/>
        </w:rPr>
        <w:t>见</w:t>
      </w:r>
      <w:r>
        <w:rPr>
          <w:rFonts w:hint="eastAsia" w:ascii="仿宋" w:hAnsi="仿宋" w:eastAsia="仿宋" w:cs="仿宋"/>
          <w:color w:val="auto"/>
          <w:sz w:val="24"/>
          <w:szCs w:val="24"/>
          <w:lang w:val="en-US" w:eastAsia="zh-CN"/>
        </w:rPr>
        <w:t>询比采购公告</w:t>
      </w:r>
      <w:r>
        <w:rPr>
          <w:rFonts w:hint="eastAsia" w:ascii="Times New Roman" w:hAnsi="Times New Roman" w:eastAsia="仿宋" w:cs="宋体"/>
          <w:color w:val="auto"/>
          <w:sz w:val="24"/>
          <w:szCs w:val="24"/>
          <w:highlight w:val="none"/>
          <w:lang w:val="en-US" w:eastAsia="zh-CN"/>
        </w:rPr>
        <w:t>；</w:t>
      </w:r>
    </w:p>
    <w:p w14:paraId="26261994">
      <w:pPr>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rPr>
        <w:t>业绩要求：</w:t>
      </w:r>
      <w:r>
        <w:rPr>
          <w:rFonts w:hint="eastAsia" w:ascii="仿宋" w:hAnsi="仿宋" w:eastAsia="仿宋" w:cs="仿宋"/>
          <w:color w:val="auto"/>
          <w:sz w:val="24"/>
          <w:szCs w:val="24"/>
          <w:highlight w:val="none"/>
          <w:lang w:val="en-US" w:eastAsia="zh-CN"/>
        </w:rPr>
        <w:t>见</w:t>
      </w:r>
      <w:r>
        <w:rPr>
          <w:rFonts w:hint="eastAsia" w:ascii="仿宋" w:hAnsi="仿宋" w:eastAsia="仿宋" w:cs="仿宋"/>
          <w:color w:val="auto"/>
          <w:sz w:val="24"/>
          <w:szCs w:val="24"/>
          <w:lang w:val="en-US" w:eastAsia="zh-CN"/>
        </w:rPr>
        <w:t>询比采购公告</w:t>
      </w:r>
      <w:r>
        <w:rPr>
          <w:rFonts w:hint="eastAsia" w:ascii="Times New Roman" w:hAnsi="Times New Roman" w:eastAsia="仿宋" w:cs="宋体"/>
          <w:color w:val="auto"/>
          <w:sz w:val="24"/>
          <w:szCs w:val="24"/>
          <w:highlight w:val="none"/>
          <w:lang w:eastAsia="zh-CN"/>
        </w:rPr>
        <w:t>；</w:t>
      </w:r>
    </w:p>
    <w:p w14:paraId="288BC572">
      <w:pPr>
        <w:snapToGrid w:val="0"/>
        <w:spacing w:line="360" w:lineRule="auto"/>
        <w:ind w:firstLine="480" w:firstLineChars="200"/>
        <w:jc w:val="left"/>
        <w:rPr>
          <w:rFonts w:hint="eastAsia" w:ascii="Times New Roman" w:hAnsi="Times New Roman" w:eastAsia="仿宋" w:cs="宋体"/>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Times New Roman" w:hAnsi="Times New Roman" w:eastAsia="仿宋" w:cs="Times New Roman"/>
          <w:color w:val="000000"/>
          <w:sz w:val="24"/>
          <w:szCs w:val="24"/>
        </w:rPr>
        <w:t>承担本项目的主要人员：</w:t>
      </w:r>
      <w:r>
        <w:rPr>
          <w:rFonts w:hint="eastAsia" w:ascii="仿宋" w:hAnsi="仿宋" w:eastAsia="仿宋" w:cs="仿宋"/>
          <w:color w:val="auto"/>
          <w:sz w:val="24"/>
          <w:szCs w:val="24"/>
          <w:highlight w:val="none"/>
          <w:lang w:val="en-US" w:eastAsia="zh-CN"/>
        </w:rPr>
        <w:t>见</w:t>
      </w:r>
      <w:r>
        <w:rPr>
          <w:rFonts w:hint="eastAsia" w:ascii="仿宋" w:hAnsi="仿宋" w:eastAsia="仿宋" w:cs="仿宋"/>
          <w:color w:val="auto"/>
          <w:sz w:val="24"/>
          <w:szCs w:val="24"/>
          <w:lang w:val="en-US" w:eastAsia="zh-CN"/>
        </w:rPr>
        <w:t>询比采购公告</w:t>
      </w:r>
      <w:r>
        <w:rPr>
          <w:rFonts w:hint="eastAsia" w:ascii="Times New Roman" w:hAnsi="Times New Roman" w:eastAsia="仿宋" w:cs="Times New Roman"/>
          <w:color w:val="000000"/>
          <w:sz w:val="24"/>
          <w:szCs w:val="24"/>
          <w:lang w:eastAsia="zh-CN"/>
        </w:rPr>
        <w:t>；</w:t>
      </w:r>
    </w:p>
    <w:p w14:paraId="5363A4CA">
      <w:pPr>
        <w:snapToGrid w:val="0"/>
        <w:spacing w:line="360" w:lineRule="auto"/>
        <w:ind w:firstLine="480" w:firstLineChars="200"/>
        <w:jc w:val="left"/>
        <w:rPr>
          <w:rFonts w:hint="eastAsia" w:ascii="Times New Roman" w:hAnsi="Times New Roman" w:eastAsia="仿宋" w:cs="宋体"/>
          <w:color w:val="auto"/>
          <w:sz w:val="24"/>
          <w:szCs w:val="24"/>
          <w:highlight w:val="none"/>
          <w:lang w:eastAsia="zh-CN"/>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4</w:t>
      </w:r>
      <w:r>
        <w:rPr>
          <w:rFonts w:hint="eastAsia" w:ascii="Times New Roman" w:hAnsi="Times New Roman" w:cs="宋体"/>
          <w:color w:val="auto"/>
          <w:sz w:val="24"/>
          <w:szCs w:val="24"/>
          <w:highlight w:val="none"/>
          <w:lang w:eastAsia="zh-CN"/>
        </w:rPr>
        <w:t>）</w:t>
      </w:r>
      <w:r>
        <w:rPr>
          <w:rFonts w:hint="eastAsia" w:ascii="仿宋" w:hAnsi="仿宋" w:eastAsia="仿宋" w:cs="仿宋"/>
          <w:color w:val="auto"/>
          <w:sz w:val="24"/>
          <w:szCs w:val="24"/>
          <w:lang w:val="en-US" w:eastAsia="zh-CN"/>
        </w:rPr>
        <w:t>供应商</w:t>
      </w:r>
      <w:r>
        <w:rPr>
          <w:rFonts w:hint="eastAsia" w:ascii="仿宋" w:hAnsi="仿宋" w:eastAsia="仿宋" w:cs="仿宋"/>
          <w:bCs/>
          <w:snapToGrid w:val="0"/>
          <w:color w:val="auto"/>
          <w:kern w:val="0"/>
          <w:sz w:val="24"/>
          <w:szCs w:val="24"/>
          <w:highlight w:val="none"/>
        </w:rPr>
        <w:t>财务要求：</w:t>
      </w:r>
      <w:r>
        <w:rPr>
          <w:rFonts w:hint="eastAsia" w:ascii="仿宋" w:hAnsi="仿宋" w:eastAsia="仿宋" w:cs="仿宋"/>
          <w:color w:val="auto"/>
          <w:sz w:val="24"/>
          <w:szCs w:val="24"/>
          <w:highlight w:val="none"/>
          <w:lang w:val="en-US" w:eastAsia="zh-CN"/>
        </w:rPr>
        <w:t>见</w:t>
      </w:r>
      <w:r>
        <w:rPr>
          <w:rFonts w:hint="eastAsia" w:ascii="仿宋" w:hAnsi="仿宋" w:eastAsia="仿宋" w:cs="仿宋"/>
          <w:color w:val="auto"/>
          <w:sz w:val="24"/>
          <w:szCs w:val="24"/>
          <w:lang w:val="en-US" w:eastAsia="zh-CN"/>
        </w:rPr>
        <w:t>询比采购公告</w:t>
      </w:r>
      <w:r>
        <w:rPr>
          <w:rFonts w:hint="eastAsia" w:ascii="Times New Roman" w:hAnsi="Times New Roman" w:eastAsia="仿宋" w:cs="宋体"/>
          <w:color w:val="auto"/>
          <w:sz w:val="24"/>
          <w:szCs w:val="24"/>
          <w:highlight w:val="none"/>
          <w:lang w:eastAsia="zh-CN"/>
        </w:rPr>
        <w:t>；</w:t>
      </w:r>
    </w:p>
    <w:p w14:paraId="13114C44">
      <w:pPr>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）其他要求：</w:t>
      </w:r>
      <w:r>
        <w:rPr>
          <w:rFonts w:hint="eastAsia" w:ascii="仿宋" w:hAnsi="仿宋" w:eastAsia="仿宋" w:cs="仿宋"/>
          <w:color w:val="auto"/>
          <w:sz w:val="24"/>
          <w:szCs w:val="24"/>
          <w:highlight w:val="none"/>
          <w:lang w:val="en-US" w:eastAsia="zh-CN"/>
        </w:rPr>
        <w:t>见</w:t>
      </w:r>
      <w:r>
        <w:rPr>
          <w:rFonts w:hint="eastAsia" w:ascii="仿宋" w:hAnsi="仿宋" w:eastAsia="仿宋" w:cs="仿宋"/>
          <w:color w:val="auto"/>
          <w:sz w:val="24"/>
          <w:szCs w:val="24"/>
          <w:lang w:val="en-US" w:eastAsia="zh-CN"/>
        </w:rPr>
        <w:t>询比采购公告</w:t>
      </w:r>
      <w:r>
        <w:rPr>
          <w:rFonts w:hint="eastAsia" w:ascii="Times New Roman" w:hAnsi="Times New Roman" w:cs="宋体"/>
          <w:color w:val="auto"/>
          <w:sz w:val="24"/>
          <w:szCs w:val="24"/>
          <w:highlight w:val="none"/>
        </w:rPr>
        <w:t>。</w:t>
      </w:r>
    </w:p>
    <w:p w14:paraId="2C738D56">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需要提交的相关证明材料见本章第3.5款的规定。</w:t>
      </w:r>
    </w:p>
    <w:p w14:paraId="0161FAC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1.2.2 供应商</w:t>
      </w:r>
      <w:r>
        <w:rPr>
          <w:rFonts w:hint="eastAsia" w:ascii="仿宋" w:hAnsi="仿宋" w:eastAsia="仿宋" w:cs="仿宋"/>
          <w:color w:val="auto"/>
          <w:sz w:val="24"/>
          <w:szCs w:val="24"/>
        </w:rPr>
        <w:t>（包括联合体各成员）不得存在下列情形：</w:t>
      </w:r>
    </w:p>
    <w:p w14:paraId="0CC0B91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（1）为</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lang w:val="zh-CN"/>
        </w:rPr>
        <w:t>不具有独立法人资格的附属机构（单位</w:t>
      </w:r>
      <w:r>
        <w:rPr>
          <w:rFonts w:hint="eastAsia" w:ascii="仿宋" w:hAnsi="仿宋" w:eastAsia="仿宋" w:cs="仿宋"/>
          <w:color w:val="auto"/>
          <w:sz w:val="24"/>
          <w:szCs w:val="24"/>
        </w:rPr>
        <w:t xml:space="preserve">）； </w:t>
      </w:r>
    </w:p>
    <w:p w14:paraId="14619DE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（2）与</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lang w:val="zh-CN"/>
        </w:rPr>
        <w:t>存在利害关系且可能影响</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lang w:val="zh-CN"/>
        </w:rPr>
        <w:t>公正性；</w:t>
      </w:r>
    </w:p>
    <w:p w14:paraId="1ABED98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与本</w:t>
      </w:r>
      <w:r>
        <w:rPr>
          <w:rFonts w:hint="eastAsia" w:ascii="仿宋" w:hAnsi="仿宋" w:eastAsia="仿宋" w:cs="仿宋"/>
          <w:color w:val="auto"/>
          <w:sz w:val="24"/>
          <w:szCs w:val="24"/>
          <w:lang w:val="en-US" w:eastAsia="zh-CN"/>
        </w:rPr>
        <w:t>采购包</w:t>
      </w:r>
      <w:r>
        <w:rPr>
          <w:rFonts w:hint="eastAsia" w:ascii="仿宋" w:hAnsi="仿宋" w:eastAsia="仿宋" w:cs="仿宋"/>
          <w:color w:val="auto"/>
          <w:sz w:val="24"/>
          <w:szCs w:val="24"/>
        </w:rPr>
        <w:t>其他</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的单位负责人为同一人</w:t>
      </w:r>
      <w:r>
        <w:rPr>
          <w:rFonts w:hint="eastAsia" w:ascii="仿宋" w:hAnsi="仿宋" w:eastAsia="仿宋" w:cs="仿宋"/>
          <w:color w:val="auto"/>
          <w:sz w:val="24"/>
          <w:szCs w:val="24"/>
          <w:lang w:val="zh-CN"/>
        </w:rPr>
        <w:t>；</w:t>
      </w:r>
    </w:p>
    <w:p w14:paraId="135E3FDB">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（4）与</w:t>
      </w:r>
      <w:r>
        <w:rPr>
          <w:rFonts w:hint="eastAsia" w:ascii="仿宋" w:hAnsi="仿宋" w:eastAsia="仿宋" w:cs="仿宋"/>
          <w:color w:val="auto"/>
          <w:sz w:val="24"/>
          <w:szCs w:val="24"/>
        </w:rPr>
        <w:t>本</w:t>
      </w:r>
      <w:r>
        <w:rPr>
          <w:rFonts w:hint="eastAsia" w:ascii="仿宋" w:hAnsi="仿宋" w:eastAsia="仿宋" w:cs="仿宋"/>
          <w:color w:val="auto"/>
          <w:sz w:val="24"/>
          <w:szCs w:val="24"/>
          <w:lang w:val="en-US" w:eastAsia="zh-CN"/>
        </w:rPr>
        <w:t>采购包</w:t>
      </w:r>
      <w:r>
        <w:rPr>
          <w:rFonts w:hint="eastAsia" w:ascii="仿宋" w:hAnsi="仿宋" w:eastAsia="仿宋" w:cs="仿宋"/>
          <w:color w:val="auto"/>
          <w:sz w:val="24"/>
          <w:szCs w:val="24"/>
        </w:rPr>
        <w:t>其他</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val="zh-CN"/>
        </w:rPr>
        <w:t>存在控股、管理关系；</w:t>
      </w:r>
    </w:p>
    <w:p w14:paraId="311BC0F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为本</w:t>
      </w:r>
      <w:r>
        <w:rPr>
          <w:rFonts w:hint="eastAsia" w:ascii="仿宋" w:hAnsi="仿宋" w:eastAsia="仿宋" w:cs="仿宋"/>
          <w:color w:val="auto"/>
          <w:sz w:val="24"/>
          <w:szCs w:val="24"/>
          <w:lang w:val="en-US" w:eastAsia="zh-CN"/>
        </w:rPr>
        <w:t>采购包</w:t>
      </w:r>
      <w:r>
        <w:rPr>
          <w:rFonts w:hint="eastAsia" w:ascii="仿宋" w:hAnsi="仿宋" w:eastAsia="仿宋" w:cs="仿宋"/>
          <w:color w:val="auto"/>
          <w:sz w:val="24"/>
          <w:szCs w:val="24"/>
          <w:lang w:val="zh-CN"/>
        </w:rPr>
        <w:t>的</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lang w:val="zh-CN"/>
        </w:rPr>
        <w:t>代理机构；</w:t>
      </w:r>
    </w:p>
    <w:p w14:paraId="1317053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（6）在最近三年内（自</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截止之日向前追溯3年）有严重违约或发生重大</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质量问题</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（以相关行业主管部门的行政处罚决定或司法机关出具的有关法律文书为准），前述行政处罚已完成信用修复的，但自行政处罚作出机关或信用修复主管部门同意修复之日起满一年的，不受三年期限限制；</w:t>
      </w:r>
    </w:p>
    <w:p w14:paraId="0C1CCD7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（7）</w:t>
      </w:r>
      <w:r>
        <w:rPr>
          <w:rFonts w:hint="eastAsia" w:ascii="仿宋" w:hAnsi="仿宋" w:eastAsia="仿宋" w:cs="仿宋"/>
          <w:color w:val="auto"/>
          <w:sz w:val="24"/>
          <w:szCs w:val="24"/>
        </w:rPr>
        <w:t>被责令停产停业，暂扣或吊销执照，或吊销资质证书；</w:t>
      </w:r>
    </w:p>
    <w:p w14:paraId="17FDF2D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（8）</w:t>
      </w:r>
      <w:r>
        <w:rPr>
          <w:rFonts w:hint="eastAsia" w:ascii="仿宋" w:hAnsi="仿宋" w:eastAsia="仿宋" w:cs="仿宋"/>
          <w:color w:val="auto"/>
          <w:sz w:val="24"/>
          <w:szCs w:val="24"/>
        </w:rPr>
        <w:t>进入清算程序，或被宣告破产，或其他丧失履约能力的情形；</w:t>
      </w:r>
    </w:p>
    <w:p w14:paraId="031618B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（9）</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或其法定代表人、</w:t>
      </w:r>
      <w:r>
        <w:rPr>
          <w:rFonts w:hint="eastAsia" w:ascii="仿宋" w:hAnsi="仿宋" w:eastAsia="仿宋" w:cs="仿宋"/>
          <w:color w:val="auto"/>
          <w:sz w:val="24"/>
          <w:szCs w:val="24"/>
          <w:lang w:eastAsia="zh-CN"/>
        </w:rPr>
        <w:t>项目负责人</w:t>
      </w:r>
      <w:r>
        <w:rPr>
          <w:rFonts w:hint="eastAsia" w:ascii="仿宋" w:hAnsi="仿宋" w:eastAsia="仿宋" w:cs="仿宋"/>
          <w:color w:val="auto"/>
          <w:sz w:val="24"/>
          <w:szCs w:val="24"/>
        </w:rPr>
        <w:t>在近三年内（自</w:t>
      </w:r>
      <w:r>
        <w:rPr>
          <w:rFonts w:hint="eastAsia" w:ascii="仿宋" w:hAnsi="仿宋" w:eastAsia="仿宋" w:cs="仿宋"/>
          <w:color w:val="auto"/>
          <w:sz w:val="24"/>
          <w:szCs w:val="24"/>
          <w:lang w:val="en-US" w:eastAsia="zh-CN"/>
        </w:rPr>
        <w:t>询比开始</w:t>
      </w:r>
      <w:r>
        <w:rPr>
          <w:rFonts w:hint="eastAsia" w:ascii="仿宋" w:hAnsi="仿宋" w:eastAsia="仿宋" w:cs="仿宋"/>
          <w:color w:val="auto"/>
          <w:sz w:val="24"/>
          <w:szCs w:val="24"/>
        </w:rPr>
        <w:t>之日向前追溯3年）有行贿犯罪行为；</w:t>
      </w:r>
    </w:p>
    <w:p w14:paraId="27257BE4">
      <w:pPr>
        <w:spacing w:line="360" w:lineRule="auto"/>
        <w:ind w:firstLine="480" w:firstLineChars="20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（10）</w:t>
      </w:r>
      <w:r>
        <w:rPr>
          <w:rFonts w:hint="eastAsia" w:ascii="仿宋" w:hAnsi="仿宋" w:eastAsia="仿宋" w:cs="仿宋"/>
          <w:color w:val="auto"/>
          <w:sz w:val="24"/>
          <w:szCs w:val="24"/>
        </w:rPr>
        <w:t>法律法规规定的其他禁止情形</w:t>
      </w:r>
      <w:r>
        <w:rPr>
          <w:rFonts w:hint="eastAsia" w:ascii="仿宋" w:hAnsi="仿宋" w:eastAsia="仿宋" w:cs="仿宋"/>
          <w:color w:val="auto"/>
          <w:sz w:val="24"/>
          <w:szCs w:val="24"/>
          <w:lang w:eastAsia="zh-CN"/>
        </w:rPr>
        <w:t>。</w:t>
      </w:r>
    </w:p>
    <w:p w14:paraId="7340E2F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1.2.3 供应商（包括联合体各成员）不得存在下列不良状况或不良信用记录： </w:t>
      </w:r>
      <w:r>
        <w:rPr>
          <w:rFonts w:hint="eastAsia" w:ascii="仿宋" w:hAnsi="仿宋" w:eastAsia="仿宋" w:cs="仿宋"/>
          <w:color w:val="auto"/>
          <w:sz w:val="24"/>
          <w:szCs w:val="24"/>
        </w:rPr>
        <w:t xml:space="preserve"> </w:t>
      </w:r>
    </w:p>
    <w:p w14:paraId="1ED6D56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（1）在国家企业信用信息公示系统（http://www.gsxt.gov.cn/）中被列入严重违法失信企业名单；</w:t>
      </w:r>
    </w:p>
    <w:p w14:paraId="06274EE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（2）在“信用中国”网站（http://www.creditchina.gov.cn/）中被列入失信被执行人名单；</w:t>
      </w:r>
    </w:p>
    <w:p w14:paraId="6F71D6F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（3）在“信用中国”网站（http://www.creditchina.gov.cn/）中被列入重大税收违法失信主体名单</w:t>
      </w:r>
      <w:r>
        <w:rPr>
          <w:rFonts w:hint="eastAsia" w:ascii="仿宋" w:hAnsi="仿宋" w:eastAsia="仿宋" w:cs="仿宋"/>
          <w:color w:val="auto"/>
          <w:sz w:val="24"/>
          <w:szCs w:val="24"/>
          <w:lang w:eastAsia="zh-CN"/>
        </w:rPr>
        <w:t>。</w:t>
      </w:r>
    </w:p>
    <w:p w14:paraId="7669EA25">
      <w:pPr>
        <w:spacing w:line="400" w:lineRule="exact"/>
        <w:ind w:firstLine="420" w:firstLineChars="200"/>
        <w:rPr>
          <w:rFonts w:hint="eastAsia" w:ascii="仿宋" w:hAnsi="仿宋" w:eastAsia="仿宋" w:cs="仿宋"/>
          <w:color w:val="000000"/>
        </w:rPr>
      </w:pPr>
    </w:p>
    <w:p w14:paraId="03F11AB9">
      <w:pPr>
        <w:pStyle w:val="4"/>
        <w:spacing w:line="240" w:lineRule="auto"/>
        <w:ind w:firstLine="137"/>
        <w:rPr>
          <w:rFonts w:hint="eastAsia" w:ascii="仿宋" w:hAnsi="仿宋" w:eastAsia="仿宋" w:cs="仿宋"/>
          <w:color w:val="000000"/>
        </w:rPr>
      </w:pPr>
      <w:bookmarkStart w:id="114" w:name="_Toc5334"/>
      <w:r>
        <w:rPr>
          <w:rFonts w:hint="eastAsia" w:ascii="仿宋" w:hAnsi="仿宋" w:eastAsia="仿宋" w:cs="仿宋"/>
          <w:color w:val="000000"/>
        </w:rPr>
        <w:t>1.3 费用承担</w:t>
      </w:r>
      <w:bookmarkEnd w:id="114"/>
    </w:p>
    <w:p w14:paraId="112A8AF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供应商准备和参加询比采购活动所发生的各种费用由供应商自行承担。</w:t>
      </w:r>
    </w:p>
    <w:p w14:paraId="688AE164">
      <w:pPr>
        <w:pStyle w:val="4"/>
        <w:spacing w:line="240" w:lineRule="auto"/>
        <w:ind w:firstLine="137"/>
        <w:rPr>
          <w:rFonts w:hint="eastAsia" w:ascii="仿宋" w:hAnsi="仿宋" w:eastAsia="仿宋" w:cs="仿宋"/>
          <w:color w:val="000000"/>
        </w:rPr>
      </w:pPr>
      <w:bookmarkStart w:id="115" w:name="_Toc2732"/>
      <w:bookmarkStart w:id="116" w:name="_Toc501460656"/>
      <w:r>
        <w:rPr>
          <w:rFonts w:hint="eastAsia" w:ascii="仿宋" w:hAnsi="仿宋" w:eastAsia="仿宋" w:cs="仿宋"/>
          <w:color w:val="000000"/>
        </w:rPr>
        <w:t>1.4 保密</w:t>
      </w:r>
      <w:bookmarkEnd w:id="115"/>
      <w:bookmarkEnd w:id="116"/>
    </w:p>
    <w:p w14:paraId="2955F925">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参与询比采购活动的各方应对采购文件和响应文件中的</w:t>
      </w:r>
      <w:bookmarkStart w:id="117" w:name="_Toc352691477"/>
      <w:bookmarkStart w:id="118" w:name="_Toc369531519"/>
      <w:bookmarkStart w:id="119" w:name="_Toc5326"/>
      <w:bookmarkStart w:id="120" w:name="_Toc384308214"/>
      <w:bookmarkStart w:id="121" w:name="_Toc361508589"/>
      <w:r>
        <w:rPr>
          <w:rFonts w:hint="eastAsia" w:ascii="仿宋" w:hAnsi="仿宋" w:eastAsia="仿宋" w:cs="仿宋"/>
          <w:color w:val="000000"/>
          <w:sz w:val="24"/>
          <w:szCs w:val="24"/>
        </w:rPr>
        <w:t>商业和技术等秘密保密</w:t>
      </w:r>
      <w:bookmarkEnd w:id="117"/>
      <w:bookmarkEnd w:id="118"/>
      <w:bookmarkEnd w:id="119"/>
      <w:bookmarkEnd w:id="120"/>
      <w:bookmarkEnd w:id="121"/>
      <w:r>
        <w:rPr>
          <w:rFonts w:hint="eastAsia" w:ascii="仿宋" w:hAnsi="仿宋" w:eastAsia="仿宋" w:cs="仿宋"/>
          <w:color w:val="000000"/>
          <w:sz w:val="24"/>
          <w:szCs w:val="24"/>
        </w:rPr>
        <w:t>，否则应承担相应的法律责任。</w:t>
      </w:r>
    </w:p>
    <w:p w14:paraId="04814C82">
      <w:pPr>
        <w:pStyle w:val="4"/>
        <w:spacing w:line="240" w:lineRule="auto"/>
        <w:ind w:firstLine="137"/>
        <w:rPr>
          <w:rFonts w:hint="eastAsia" w:ascii="仿宋" w:hAnsi="仿宋" w:eastAsia="仿宋" w:cs="仿宋"/>
          <w:color w:val="000000"/>
        </w:rPr>
      </w:pPr>
      <w:bookmarkStart w:id="122" w:name="_Toc3914"/>
      <w:bookmarkStart w:id="123" w:name="_Toc501460657"/>
      <w:r>
        <w:rPr>
          <w:rFonts w:hint="eastAsia" w:ascii="仿宋" w:hAnsi="仿宋" w:eastAsia="仿宋" w:cs="仿宋"/>
          <w:color w:val="000000"/>
        </w:rPr>
        <w:t>1.5 语言文字</w:t>
      </w:r>
      <w:bookmarkEnd w:id="122"/>
      <w:bookmarkEnd w:id="123"/>
    </w:p>
    <w:p w14:paraId="01E88EA3">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采购文件和响应文件使用的语言文字为中文。专用术语使用外文的，应附有中文注释。</w:t>
      </w:r>
    </w:p>
    <w:p w14:paraId="713A8071">
      <w:pPr>
        <w:pStyle w:val="4"/>
        <w:spacing w:line="240" w:lineRule="auto"/>
        <w:ind w:firstLine="137"/>
        <w:rPr>
          <w:rFonts w:hint="eastAsia" w:ascii="仿宋" w:hAnsi="仿宋" w:eastAsia="仿宋" w:cs="仿宋"/>
          <w:color w:val="000000"/>
        </w:rPr>
      </w:pPr>
      <w:bookmarkStart w:id="124" w:name="_Toc501460658"/>
      <w:bookmarkStart w:id="125" w:name="_Toc18939"/>
      <w:r>
        <w:rPr>
          <w:rFonts w:hint="eastAsia" w:ascii="仿宋" w:hAnsi="仿宋" w:eastAsia="仿宋" w:cs="仿宋"/>
          <w:color w:val="000000"/>
        </w:rPr>
        <w:t>1.6 计量单位</w:t>
      </w:r>
      <w:bookmarkEnd w:id="124"/>
      <w:bookmarkEnd w:id="125"/>
    </w:p>
    <w:p w14:paraId="76E5A25D">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所有计量均采用中华人民共和国法定计量单位。</w:t>
      </w:r>
    </w:p>
    <w:p w14:paraId="70AFE4E6">
      <w:pPr>
        <w:pStyle w:val="4"/>
        <w:spacing w:line="240" w:lineRule="auto"/>
        <w:ind w:firstLine="137"/>
        <w:rPr>
          <w:rFonts w:hint="eastAsia" w:ascii="仿宋" w:hAnsi="仿宋" w:eastAsia="仿宋" w:cs="仿宋"/>
          <w:color w:val="000000"/>
        </w:rPr>
      </w:pPr>
      <w:bookmarkStart w:id="126" w:name="_Toc361508594"/>
      <w:bookmarkStart w:id="127" w:name="_Toc247513962"/>
      <w:bookmarkStart w:id="128" w:name="_Toc370676289"/>
      <w:bookmarkStart w:id="129" w:name="_Toc384308219"/>
      <w:bookmarkStart w:id="130" w:name="_Toc3962"/>
      <w:bookmarkStart w:id="131" w:name="_Toc391393967"/>
      <w:bookmarkStart w:id="132" w:name="_Toc144974507"/>
      <w:bookmarkStart w:id="133" w:name="_Toc152045539"/>
      <w:bookmarkStart w:id="134" w:name="_Toc152042315"/>
      <w:bookmarkStart w:id="135" w:name="_Toc300834959"/>
      <w:bookmarkStart w:id="136" w:name="_Toc247527563"/>
      <w:bookmarkStart w:id="137" w:name="_Toc482188480"/>
      <w:bookmarkStart w:id="138" w:name="_Toc501460401"/>
      <w:bookmarkStart w:id="139" w:name="_Toc501460659"/>
      <w:bookmarkStart w:id="140" w:name="_Toc485303284"/>
      <w:r>
        <w:rPr>
          <w:rFonts w:hint="eastAsia" w:ascii="仿宋" w:hAnsi="仿宋" w:eastAsia="仿宋" w:cs="仿宋"/>
          <w:color w:val="000000"/>
        </w:rPr>
        <w:t>1.7 踏勘现场</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1D5CA0DC">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1.7.1 供应商须知前附表规定组织踏勘现场的，采购人按供应商须知前附表规定的时间、地点组织供应商踏勘项目现场。部分供应商未按时参加踏勘现场的，不影响踏勘现场的正常进行。</w:t>
      </w:r>
    </w:p>
    <w:p w14:paraId="4AF1B65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1.7.2 供应商可自愿参加踏勘现场活动。除采购人的原因外，采购人对供应商参加踏勘现场中所发生的人员伤亡和财产损失不承担责任。</w:t>
      </w:r>
    </w:p>
    <w:p w14:paraId="2AD23089">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1.7.3 采购人在踏勘现场中介绍的工程场地和相关的周边环境情况，仅作为供应商编制响应文件的参考，采购人不对供应商据此作出的判断和决策负责。</w:t>
      </w:r>
    </w:p>
    <w:p w14:paraId="400C2895">
      <w:pPr>
        <w:pStyle w:val="4"/>
        <w:spacing w:line="240" w:lineRule="auto"/>
        <w:ind w:firstLine="137"/>
        <w:rPr>
          <w:rFonts w:hint="eastAsia" w:ascii="仿宋" w:hAnsi="仿宋" w:eastAsia="仿宋" w:cs="仿宋"/>
          <w:color w:val="000000"/>
        </w:rPr>
      </w:pPr>
      <w:bookmarkStart w:id="141" w:name="_Toc12473"/>
      <w:r>
        <w:rPr>
          <w:rFonts w:hint="eastAsia" w:ascii="仿宋" w:hAnsi="仿宋" w:eastAsia="仿宋" w:cs="仿宋"/>
          <w:color w:val="000000"/>
        </w:rPr>
        <w:t>1.8 询比采购预备会</w:t>
      </w:r>
      <w:bookmarkEnd w:id="139"/>
      <w:bookmarkEnd w:id="140"/>
      <w:bookmarkEnd w:id="141"/>
    </w:p>
    <w:p w14:paraId="3A1726F5">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供应商须知前附表规定召开询比采购预备会的，采购人按供应商须知前附表规定的时间和地点召开询比采购预备会。</w:t>
      </w:r>
    </w:p>
    <w:p w14:paraId="04561311">
      <w:pPr>
        <w:pStyle w:val="4"/>
        <w:spacing w:line="240" w:lineRule="auto"/>
        <w:ind w:firstLine="137"/>
        <w:rPr>
          <w:rFonts w:hint="eastAsia" w:ascii="仿宋" w:hAnsi="仿宋" w:eastAsia="仿宋" w:cs="仿宋"/>
          <w:color w:val="000000"/>
        </w:rPr>
      </w:pPr>
      <w:bookmarkStart w:id="142" w:name="_Toc501460660"/>
      <w:bookmarkStart w:id="143" w:name="_Toc16508"/>
      <w:bookmarkStart w:id="144" w:name="_Toc73704062"/>
      <w:r>
        <w:rPr>
          <w:rFonts w:hint="eastAsia" w:ascii="仿宋" w:hAnsi="仿宋" w:eastAsia="仿宋" w:cs="仿宋"/>
          <w:color w:val="000000"/>
        </w:rPr>
        <w:t>1.9 分包</w:t>
      </w:r>
      <w:bookmarkEnd w:id="142"/>
      <w:bookmarkEnd w:id="143"/>
      <w:bookmarkEnd w:id="144"/>
    </w:p>
    <w:p w14:paraId="7C5ADD9D">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供应商拟在成交后将成交项目的部分工作进行分包的，应符合供应商须知前附表的规定，并在响应文件中作出说明。</w:t>
      </w:r>
    </w:p>
    <w:p w14:paraId="4E2CCE90">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分包供应商不得将分包项目再次分包。成交供应商应当就分包项目向采购人负责，分包供应商就分包项目承担连带责任。</w:t>
      </w:r>
    </w:p>
    <w:p w14:paraId="0A6F1BBB">
      <w:pPr>
        <w:pStyle w:val="4"/>
        <w:spacing w:line="240" w:lineRule="auto"/>
        <w:ind w:firstLine="137"/>
        <w:rPr>
          <w:rFonts w:hint="eastAsia" w:ascii="仿宋" w:hAnsi="仿宋" w:eastAsia="仿宋" w:cs="仿宋"/>
          <w:color w:val="000000"/>
        </w:rPr>
      </w:pPr>
      <w:bookmarkStart w:id="145" w:name="_Toc501460661"/>
      <w:bookmarkStart w:id="146" w:name="_Toc7327"/>
      <w:r>
        <w:rPr>
          <w:rFonts w:hint="eastAsia" w:ascii="仿宋" w:hAnsi="仿宋" w:eastAsia="仿宋" w:cs="仿宋"/>
          <w:color w:val="000000"/>
        </w:rPr>
        <w:t>1.10 响应和偏差</w:t>
      </w:r>
      <w:bookmarkEnd w:id="145"/>
      <w:bookmarkEnd w:id="146"/>
    </w:p>
    <w:p w14:paraId="6AA93AA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1.10.1 采购需求和合同条款及格式中的关键条款均以“*”符号标记。响应文件应当对采购需求和合同条款及格式中的关键条款作出满足性或更有利于采购人的响应，否则，供应商的响应文件将被视为无效。</w:t>
      </w:r>
    </w:p>
    <w:p w14:paraId="279AD47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1.10.2 供应商须知前附表规定了对非关键条款允许偏差的范围和可以偏差的项数的，如响应文件存在的偏差超出上述范围或项数，将被视为无效。</w:t>
      </w:r>
    </w:p>
    <w:p w14:paraId="499585A6">
      <w:pPr>
        <w:pStyle w:val="3"/>
        <w:rPr>
          <w:rFonts w:hint="eastAsia" w:ascii="仿宋" w:hAnsi="仿宋" w:eastAsia="仿宋" w:cs="仿宋"/>
          <w:color w:val="000000"/>
        </w:rPr>
      </w:pPr>
      <w:bookmarkStart w:id="147" w:name="_Toc501460662"/>
      <w:bookmarkStart w:id="148" w:name="_Toc29724"/>
      <w:r>
        <w:rPr>
          <w:rFonts w:hint="eastAsia" w:ascii="仿宋" w:hAnsi="仿宋" w:eastAsia="仿宋" w:cs="仿宋"/>
          <w:color w:val="000000"/>
        </w:rPr>
        <w:t xml:space="preserve">2. </w:t>
      </w:r>
      <w:bookmarkEnd w:id="147"/>
      <w:r>
        <w:rPr>
          <w:rFonts w:hint="eastAsia" w:ascii="仿宋" w:hAnsi="仿宋" w:eastAsia="仿宋" w:cs="仿宋"/>
          <w:color w:val="000000"/>
        </w:rPr>
        <w:t>采购文件</w:t>
      </w:r>
      <w:bookmarkEnd w:id="148"/>
    </w:p>
    <w:p w14:paraId="34770D13">
      <w:pPr>
        <w:pStyle w:val="4"/>
        <w:spacing w:line="240" w:lineRule="auto"/>
        <w:ind w:firstLine="137"/>
        <w:rPr>
          <w:rFonts w:hint="eastAsia" w:ascii="仿宋" w:hAnsi="仿宋" w:eastAsia="仿宋" w:cs="仿宋"/>
          <w:color w:val="000000"/>
        </w:rPr>
      </w:pPr>
      <w:bookmarkStart w:id="149" w:name="_Toc501460663"/>
      <w:r>
        <w:rPr>
          <w:rFonts w:hint="eastAsia" w:ascii="仿宋" w:hAnsi="仿宋" w:eastAsia="仿宋" w:cs="仿宋"/>
          <w:color w:val="000000"/>
        </w:rPr>
        <w:t>2.1 采购文件的组成</w:t>
      </w:r>
    </w:p>
    <w:p w14:paraId="506BAC16">
      <w:pPr>
        <w:spacing w:line="400" w:lineRule="exact"/>
        <w:ind w:firstLine="410" w:firstLineChars="171"/>
        <w:rPr>
          <w:rFonts w:hint="eastAsia" w:ascii="仿宋" w:hAnsi="仿宋" w:eastAsia="仿宋" w:cs="仿宋"/>
          <w:color w:val="000000"/>
          <w:sz w:val="24"/>
          <w:szCs w:val="24"/>
        </w:rPr>
      </w:pPr>
      <w:r>
        <w:rPr>
          <w:rFonts w:hint="eastAsia" w:ascii="仿宋" w:hAnsi="仿宋" w:eastAsia="仿宋" w:cs="仿宋"/>
          <w:color w:val="000000"/>
          <w:sz w:val="24"/>
          <w:szCs w:val="24"/>
        </w:rPr>
        <w:t>本采购文件包括：</w:t>
      </w:r>
    </w:p>
    <w:p w14:paraId="3C4CAA0F">
      <w:pPr>
        <w:spacing w:line="400" w:lineRule="exact"/>
        <w:ind w:firstLine="410" w:firstLineChars="171"/>
        <w:rPr>
          <w:rFonts w:hint="eastAsia" w:ascii="仿宋" w:hAnsi="仿宋" w:eastAsia="仿宋" w:cs="仿宋"/>
          <w:color w:val="000000"/>
          <w:sz w:val="24"/>
          <w:szCs w:val="24"/>
        </w:rPr>
      </w:pPr>
      <w:r>
        <w:rPr>
          <w:rFonts w:hint="eastAsia" w:ascii="仿宋" w:hAnsi="仿宋" w:eastAsia="仿宋" w:cs="仿宋"/>
          <w:color w:val="000000"/>
          <w:sz w:val="24"/>
          <w:szCs w:val="24"/>
        </w:rPr>
        <w:t>（1）询比采购公告；</w:t>
      </w:r>
    </w:p>
    <w:p w14:paraId="17A18315">
      <w:pPr>
        <w:spacing w:line="400" w:lineRule="exact"/>
        <w:ind w:firstLine="410" w:firstLineChars="171"/>
        <w:rPr>
          <w:rFonts w:hint="eastAsia" w:ascii="仿宋" w:hAnsi="仿宋" w:eastAsia="仿宋" w:cs="仿宋"/>
          <w:color w:val="000000"/>
          <w:sz w:val="24"/>
          <w:szCs w:val="24"/>
        </w:rPr>
      </w:pPr>
      <w:r>
        <w:rPr>
          <w:rFonts w:hint="eastAsia" w:ascii="仿宋" w:hAnsi="仿宋" w:eastAsia="仿宋" w:cs="仿宋"/>
          <w:color w:val="000000"/>
          <w:sz w:val="24"/>
          <w:szCs w:val="24"/>
        </w:rPr>
        <w:t>（2）供应商须知；</w:t>
      </w:r>
    </w:p>
    <w:p w14:paraId="19A65539">
      <w:pPr>
        <w:spacing w:line="400" w:lineRule="exact"/>
        <w:ind w:firstLine="410" w:firstLineChars="171"/>
        <w:rPr>
          <w:rFonts w:hint="eastAsia" w:ascii="仿宋" w:hAnsi="仿宋" w:eastAsia="仿宋" w:cs="仿宋"/>
          <w:color w:val="000000"/>
          <w:sz w:val="24"/>
          <w:szCs w:val="24"/>
        </w:rPr>
      </w:pPr>
      <w:r>
        <w:rPr>
          <w:rFonts w:hint="eastAsia" w:ascii="仿宋" w:hAnsi="仿宋" w:eastAsia="仿宋" w:cs="仿宋"/>
          <w:color w:val="000000"/>
          <w:sz w:val="24"/>
          <w:szCs w:val="24"/>
        </w:rPr>
        <w:t>（3）评审办法；</w:t>
      </w:r>
    </w:p>
    <w:p w14:paraId="32D06BAA">
      <w:pPr>
        <w:spacing w:line="400" w:lineRule="exact"/>
        <w:ind w:firstLine="410" w:firstLineChars="171"/>
        <w:rPr>
          <w:rFonts w:hint="eastAsia" w:ascii="仿宋" w:hAnsi="仿宋" w:eastAsia="仿宋" w:cs="仿宋"/>
          <w:color w:val="000000"/>
          <w:sz w:val="24"/>
          <w:szCs w:val="24"/>
        </w:rPr>
      </w:pPr>
      <w:r>
        <w:rPr>
          <w:rFonts w:hint="eastAsia" w:ascii="仿宋" w:hAnsi="仿宋" w:eastAsia="仿宋" w:cs="仿宋"/>
          <w:color w:val="000000"/>
          <w:sz w:val="24"/>
          <w:szCs w:val="24"/>
        </w:rPr>
        <w:t>（4）合同条款及格式；</w:t>
      </w:r>
    </w:p>
    <w:p w14:paraId="0A536D1F">
      <w:pPr>
        <w:spacing w:line="400" w:lineRule="exact"/>
        <w:ind w:firstLine="410" w:firstLineChars="171"/>
        <w:rPr>
          <w:rFonts w:hint="eastAsia" w:ascii="仿宋" w:hAnsi="仿宋" w:eastAsia="仿宋" w:cs="仿宋"/>
          <w:sz w:val="24"/>
          <w:szCs w:val="24"/>
        </w:rPr>
      </w:pPr>
      <w:r>
        <w:rPr>
          <w:rFonts w:hint="eastAsia" w:ascii="仿宋" w:hAnsi="仿宋" w:eastAsia="仿宋" w:cs="仿宋"/>
          <w:color w:val="000000"/>
          <w:sz w:val="24"/>
          <w:szCs w:val="24"/>
        </w:rPr>
        <w:t>（5）</w:t>
      </w:r>
      <w:r>
        <w:rPr>
          <w:rFonts w:hint="eastAsia" w:ascii="仿宋" w:hAnsi="仿宋" w:eastAsia="仿宋" w:cs="仿宋"/>
          <w:sz w:val="24"/>
          <w:szCs w:val="24"/>
        </w:rPr>
        <w:t>采购</w:t>
      </w:r>
      <w:r>
        <w:rPr>
          <w:rFonts w:hint="eastAsia" w:ascii="仿宋" w:hAnsi="仿宋" w:eastAsia="仿宋" w:cs="仿宋"/>
          <w:sz w:val="24"/>
          <w:szCs w:val="24"/>
          <w:lang w:val="en-US" w:eastAsia="zh-CN"/>
        </w:rPr>
        <w:t>服务</w:t>
      </w:r>
      <w:r>
        <w:rPr>
          <w:rFonts w:hint="eastAsia" w:ascii="仿宋" w:hAnsi="仿宋" w:eastAsia="仿宋" w:cs="仿宋"/>
          <w:sz w:val="24"/>
          <w:szCs w:val="24"/>
        </w:rPr>
        <w:t>需求；</w:t>
      </w:r>
    </w:p>
    <w:p w14:paraId="6848F97D">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（6）响应文件格式；</w:t>
      </w:r>
    </w:p>
    <w:p w14:paraId="1EADC1AC">
      <w:pPr>
        <w:spacing w:line="400" w:lineRule="exact"/>
        <w:ind w:firstLine="410" w:firstLineChars="171"/>
        <w:rPr>
          <w:rFonts w:hint="eastAsia" w:ascii="仿宋" w:hAnsi="仿宋" w:eastAsia="仿宋" w:cs="仿宋"/>
          <w:color w:val="000000"/>
          <w:sz w:val="24"/>
          <w:szCs w:val="24"/>
        </w:rPr>
      </w:pPr>
      <w:r>
        <w:rPr>
          <w:rFonts w:hint="eastAsia" w:ascii="仿宋" w:hAnsi="仿宋" w:eastAsia="仿宋" w:cs="仿宋"/>
          <w:color w:val="000000"/>
          <w:sz w:val="24"/>
          <w:szCs w:val="24"/>
        </w:rPr>
        <w:t>（7）供应商须知前附表规定的其他资料。</w:t>
      </w:r>
    </w:p>
    <w:p w14:paraId="7DEC3F78">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采购人依照本章规定，对采购文件所做的澄清、修改，构成采购文件的组成部分。</w:t>
      </w:r>
    </w:p>
    <w:bookmarkEnd w:id="149"/>
    <w:p w14:paraId="2085AF1D">
      <w:pPr>
        <w:pStyle w:val="4"/>
        <w:spacing w:line="240" w:lineRule="auto"/>
        <w:ind w:firstLine="137"/>
        <w:rPr>
          <w:rFonts w:hint="eastAsia" w:ascii="仿宋" w:hAnsi="仿宋" w:eastAsia="仿宋" w:cs="仿宋"/>
          <w:color w:val="000000"/>
        </w:rPr>
      </w:pPr>
      <w:bookmarkStart w:id="150" w:name="_Toc501460664"/>
      <w:bookmarkStart w:id="151" w:name="_Toc485303289"/>
      <w:bookmarkStart w:id="152" w:name="_Toc26638"/>
      <w:bookmarkStart w:id="153" w:name="_Toc300834960"/>
      <w:bookmarkStart w:id="154" w:name="_Toc152042316"/>
      <w:bookmarkStart w:id="155" w:name="_Toc384308220"/>
      <w:bookmarkStart w:id="156" w:name="_Toc16623"/>
      <w:bookmarkStart w:id="157" w:name="_Toc352691484"/>
      <w:bookmarkStart w:id="158" w:name="_Toc361508595"/>
      <w:bookmarkStart w:id="159" w:name="_Toc144974508"/>
      <w:bookmarkStart w:id="160" w:name="_Toc247513963"/>
      <w:bookmarkStart w:id="161" w:name="_Toc369531526"/>
      <w:bookmarkStart w:id="162" w:name="_Toc152045540"/>
      <w:bookmarkStart w:id="163" w:name="_Toc247527564"/>
      <w:r>
        <w:rPr>
          <w:rFonts w:hint="eastAsia" w:ascii="仿宋" w:hAnsi="仿宋" w:eastAsia="仿宋" w:cs="仿宋"/>
          <w:color w:val="000000"/>
        </w:rPr>
        <w:t>2.2 采购文件的澄清</w:t>
      </w:r>
      <w:bookmarkEnd w:id="150"/>
      <w:bookmarkEnd w:id="151"/>
      <w:r>
        <w:rPr>
          <w:rFonts w:hint="eastAsia" w:ascii="仿宋" w:hAnsi="仿宋" w:eastAsia="仿宋" w:cs="仿宋"/>
          <w:color w:val="000000"/>
        </w:rPr>
        <w:t>和修改</w:t>
      </w:r>
      <w:bookmarkEnd w:id="152"/>
    </w:p>
    <w:p w14:paraId="73E3C241">
      <w:pPr>
        <w:spacing w:line="400" w:lineRule="exact"/>
        <w:ind w:firstLine="480" w:firstLineChars="200"/>
        <w:rPr>
          <w:rFonts w:hint="eastAsia" w:ascii="仿宋" w:hAnsi="仿宋" w:eastAsia="仿宋" w:cs="仿宋"/>
          <w:color w:val="000000"/>
          <w:sz w:val="24"/>
          <w:szCs w:val="24"/>
        </w:rPr>
      </w:pPr>
      <w:bookmarkStart w:id="164" w:name="_Toc485303290"/>
      <w:bookmarkStart w:id="165" w:name="_Toc352691479"/>
      <w:r>
        <w:rPr>
          <w:rFonts w:hint="eastAsia" w:ascii="仿宋" w:hAnsi="仿宋" w:eastAsia="仿宋" w:cs="仿宋"/>
          <w:color w:val="000000"/>
          <w:sz w:val="24"/>
          <w:szCs w:val="24"/>
        </w:rPr>
        <w:t>2.2.1 供应商应仔细阅读和检查采购文件的全部内容。如发现缺页或附件不全，应及时向采购人提出，以便补齐。如有疑问，应在</w:t>
      </w:r>
      <w:r>
        <w:rPr>
          <w:rFonts w:hint="eastAsia" w:ascii="仿宋" w:hAnsi="仿宋" w:eastAsia="仿宋" w:cs="仿宋"/>
          <w:iCs w:val="0"/>
          <w:color w:val="000000"/>
          <w:sz w:val="24"/>
          <w:szCs w:val="24"/>
        </w:rPr>
        <w:t>供应商须知前附表</w:t>
      </w:r>
      <w:r>
        <w:rPr>
          <w:rFonts w:hint="eastAsia" w:ascii="仿宋" w:hAnsi="仿宋" w:eastAsia="仿宋" w:cs="仿宋"/>
          <w:color w:val="000000"/>
          <w:sz w:val="24"/>
          <w:szCs w:val="24"/>
        </w:rPr>
        <w:t>规定的时间</w:t>
      </w:r>
      <w:r>
        <w:rPr>
          <w:rFonts w:hint="eastAsia" w:ascii="仿宋" w:hAnsi="仿宋" w:eastAsia="仿宋" w:cs="仿宋"/>
          <w:color w:val="000000"/>
          <w:sz w:val="24"/>
          <w:szCs w:val="24"/>
          <w:lang w:val="en-US" w:eastAsia="zh-CN"/>
        </w:rPr>
        <w:t>和</w:t>
      </w:r>
      <w:r>
        <w:rPr>
          <w:rFonts w:hint="eastAsia" w:ascii="仿宋" w:hAnsi="仿宋" w:eastAsia="仿宋" w:cs="仿宋"/>
          <w:color w:val="000000"/>
          <w:sz w:val="24"/>
          <w:szCs w:val="24"/>
        </w:rPr>
        <w:t>形式要求采购人对采购文件予以澄清。</w:t>
      </w:r>
    </w:p>
    <w:p w14:paraId="5156811E">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2.2.2 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24"/>
          <w:szCs w:val="24"/>
        </w:rPr>
        <w:t>响应文件的截止时间</w:t>
      </w:r>
      <w:r>
        <w:rPr>
          <w:rFonts w:hint="eastAsia" w:ascii="仿宋" w:hAnsi="仿宋" w:eastAsia="仿宋" w:cs="仿宋"/>
          <w:color w:val="000000"/>
          <w:sz w:val="24"/>
          <w:szCs w:val="24"/>
        </w:rPr>
        <w:t>。</w:t>
      </w:r>
    </w:p>
    <w:p w14:paraId="14438A17">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2.2.3 供应商在收到补充文件后，应按</w:t>
      </w:r>
      <w:r>
        <w:rPr>
          <w:rFonts w:hint="eastAsia" w:ascii="仿宋" w:hAnsi="仿宋" w:eastAsia="仿宋" w:cs="仿宋"/>
          <w:iCs/>
          <w:color w:val="000000"/>
          <w:sz w:val="24"/>
          <w:szCs w:val="24"/>
        </w:rPr>
        <w:t>供应商须知前附表</w:t>
      </w:r>
      <w:r>
        <w:rPr>
          <w:rFonts w:hint="eastAsia" w:ascii="仿宋" w:hAnsi="仿宋" w:eastAsia="仿宋" w:cs="仿宋"/>
          <w:color w:val="000000"/>
          <w:sz w:val="24"/>
          <w:szCs w:val="24"/>
        </w:rPr>
        <w:t>规定的时间和方式通知采购人，确认已收到该补充文件。</w:t>
      </w:r>
    </w:p>
    <w:p w14:paraId="1628DC5F">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2.2.4 除非确有必要，采购人有权拒绝回复供应商在本章第2.2.1项规定的时间后提出的任何澄清要求。</w:t>
      </w:r>
    </w:p>
    <w:bookmarkEnd w:id="153"/>
    <w:bookmarkEnd w:id="154"/>
    <w:bookmarkEnd w:id="155"/>
    <w:bookmarkEnd w:id="156"/>
    <w:bookmarkEnd w:id="157"/>
    <w:bookmarkEnd w:id="158"/>
    <w:bookmarkEnd w:id="159"/>
    <w:bookmarkEnd w:id="160"/>
    <w:bookmarkEnd w:id="161"/>
    <w:bookmarkEnd w:id="162"/>
    <w:bookmarkEnd w:id="163"/>
    <w:bookmarkEnd w:id="164"/>
    <w:bookmarkEnd w:id="165"/>
    <w:p w14:paraId="5E569D83">
      <w:pPr>
        <w:pStyle w:val="3"/>
        <w:rPr>
          <w:rFonts w:hint="eastAsia" w:ascii="仿宋" w:hAnsi="仿宋" w:eastAsia="仿宋" w:cs="仿宋"/>
          <w:color w:val="000000"/>
        </w:rPr>
      </w:pPr>
      <w:bookmarkStart w:id="166" w:name="_Toc501460667"/>
      <w:bookmarkStart w:id="167" w:name="_Toc3975"/>
      <w:r>
        <w:rPr>
          <w:rFonts w:hint="eastAsia" w:ascii="仿宋" w:hAnsi="仿宋" w:eastAsia="仿宋" w:cs="仿宋"/>
          <w:color w:val="000000"/>
        </w:rPr>
        <w:t xml:space="preserve">3. </w:t>
      </w:r>
      <w:bookmarkEnd w:id="166"/>
      <w:r>
        <w:rPr>
          <w:rFonts w:hint="eastAsia" w:ascii="仿宋" w:hAnsi="仿宋" w:eastAsia="仿宋" w:cs="仿宋"/>
          <w:color w:val="000000"/>
        </w:rPr>
        <w:t>响应文件</w:t>
      </w:r>
      <w:bookmarkEnd w:id="167"/>
    </w:p>
    <w:p w14:paraId="52BFF53C">
      <w:pPr>
        <w:pStyle w:val="4"/>
        <w:spacing w:line="240" w:lineRule="auto"/>
        <w:ind w:firstLine="137"/>
        <w:rPr>
          <w:rFonts w:hint="eastAsia" w:ascii="仿宋" w:hAnsi="仿宋" w:eastAsia="仿宋" w:cs="仿宋"/>
          <w:color w:val="000000"/>
        </w:rPr>
      </w:pPr>
      <w:bookmarkStart w:id="168" w:name="_Toc501460668"/>
      <w:bookmarkStart w:id="169" w:name="_Toc12756"/>
      <w:r>
        <w:rPr>
          <w:rFonts w:hint="eastAsia" w:ascii="仿宋" w:hAnsi="仿宋" w:eastAsia="仿宋" w:cs="仿宋"/>
          <w:color w:val="000000"/>
        </w:rPr>
        <w:t>3.1 响应文件的组成</w:t>
      </w:r>
      <w:bookmarkEnd w:id="168"/>
      <w:bookmarkEnd w:id="169"/>
    </w:p>
    <w:p w14:paraId="02CD1CB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3.1.1 响应文件应包括下列内容：</w:t>
      </w:r>
    </w:p>
    <w:p w14:paraId="131B090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（1）响应函；</w:t>
      </w:r>
    </w:p>
    <w:p w14:paraId="340D9CD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（2）授权委托书；</w:t>
      </w:r>
    </w:p>
    <w:p w14:paraId="2AE3050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（3）联合体协议书；</w:t>
      </w:r>
    </w:p>
    <w:p w14:paraId="712F53A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（4）响应保证金；</w:t>
      </w:r>
    </w:p>
    <w:p w14:paraId="36EFD8A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（5）商务和技术偏差表；</w:t>
      </w:r>
    </w:p>
    <w:p w14:paraId="776BDB6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ascii="Times New Roman" w:hAnsi="Times New Roman" w:eastAsia="仿宋"/>
          <w:color w:val="000000"/>
          <w:sz w:val="24"/>
          <w:szCs w:val="24"/>
        </w:rPr>
        <w:t>分项报价表；</w:t>
      </w:r>
    </w:p>
    <w:p w14:paraId="4641613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（7）资格审查资料；</w:t>
      </w:r>
    </w:p>
    <w:p w14:paraId="3D8D890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p>
    <w:p w14:paraId="69E94BE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iCs/>
          <w:color w:val="000000"/>
          <w:sz w:val="24"/>
          <w:szCs w:val="24"/>
        </w:rPr>
        <w:t>供应商须知前附表</w:t>
      </w:r>
      <w:r>
        <w:rPr>
          <w:rFonts w:hint="eastAsia" w:ascii="仿宋" w:hAnsi="仿宋" w:eastAsia="仿宋" w:cs="仿宋"/>
          <w:sz w:val="24"/>
          <w:szCs w:val="24"/>
        </w:rPr>
        <w:t>规定的其他资料。</w:t>
      </w:r>
    </w:p>
    <w:p w14:paraId="5E14EF0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供应商在评审过程中作出的符合采购文件要求的</w:t>
      </w:r>
      <w:r>
        <w:rPr>
          <w:rFonts w:hint="eastAsia" w:ascii="仿宋" w:hAnsi="仿宋" w:eastAsia="仿宋" w:cs="仿宋"/>
          <w:color w:val="000000"/>
          <w:sz w:val="24"/>
          <w:szCs w:val="24"/>
        </w:rPr>
        <w:t>澄清、说明和补正</w:t>
      </w:r>
      <w:r>
        <w:rPr>
          <w:rFonts w:hint="eastAsia" w:ascii="仿宋" w:hAnsi="仿宋" w:eastAsia="仿宋" w:cs="仿宋"/>
          <w:sz w:val="24"/>
          <w:szCs w:val="24"/>
        </w:rPr>
        <w:t>，构成响应文件的组成部分。</w:t>
      </w:r>
    </w:p>
    <w:p w14:paraId="3CCA41BC">
      <w:pPr>
        <w:spacing w:line="400" w:lineRule="exact"/>
        <w:ind w:firstLine="410" w:firstLineChars="171"/>
        <w:rPr>
          <w:rFonts w:hint="eastAsia" w:ascii="仿宋" w:hAnsi="仿宋" w:eastAsia="仿宋" w:cs="仿宋"/>
          <w:color w:val="000000"/>
          <w:sz w:val="24"/>
          <w:szCs w:val="24"/>
        </w:rPr>
      </w:pPr>
      <w:r>
        <w:rPr>
          <w:rFonts w:hint="eastAsia" w:ascii="仿宋" w:hAnsi="仿宋" w:eastAsia="仿宋" w:cs="仿宋"/>
          <w:sz w:val="24"/>
          <w:szCs w:val="24"/>
        </w:rPr>
        <w:t>3.1.2 供应商的法定代表人（单位负责人）亲自签署响应文件、亲自参加询比的，响应文件不包括第3.1.1（2）目所指的授权委托书；第一章“</w:t>
      </w:r>
      <w:r>
        <w:rPr>
          <w:rFonts w:hint="eastAsia" w:ascii="仿宋" w:hAnsi="仿宋" w:eastAsia="仿宋" w:cs="仿宋"/>
          <w:color w:val="000000"/>
          <w:sz w:val="24"/>
          <w:szCs w:val="24"/>
        </w:rPr>
        <w:t>询比采购</w:t>
      </w:r>
      <w:r>
        <w:rPr>
          <w:rFonts w:hint="eastAsia" w:ascii="仿宋" w:hAnsi="仿宋" w:eastAsia="仿宋" w:cs="仿宋"/>
          <w:sz w:val="24"/>
          <w:szCs w:val="24"/>
        </w:rPr>
        <w:t>公告”规定不接受联合体的，或供应商没有组成联合体的，响应文件不包括第3.1.1（3）目所指的联合体协议书。供应商须知前附表未要求供应商递交响应保证金的，响应文件不包括第3.1.1（4）目所指的响应保证金。</w:t>
      </w:r>
    </w:p>
    <w:p w14:paraId="20E7941A">
      <w:pPr>
        <w:pStyle w:val="4"/>
        <w:spacing w:line="240" w:lineRule="auto"/>
        <w:ind w:firstLine="137"/>
        <w:rPr>
          <w:rFonts w:hint="eastAsia" w:ascii="仿宋" w:hAnsi="仿宋" w:eastAsia="仿宋" w:cs="仿宋"/>
          <w:color w:val="000000"/>
        </w:rPr>
      </w:pPr>
      <w:bookmarkStart w:id="170" w:name="_Toc18742"/>
      <w:bookmarkStart w:id="171" w:name="_Toc501460669"/>
      <w:r>
        <w:rPr>
          <w:rFonts w:hint="eastAsia" w:ascii="仿宋" w:hAnsi="仿宋" w:eastAsia="仿宋" w:cs="仿宋"/>
          <w:color w:val="000000"/>
        </w:rPr>
        <w:t>3.2 报价</w:t>
      </w:r>
      <w:bookmarkEnd w:id="170"/>
      <w:bookmarkEnd w:id="171"/>
    </w:p>
    <w:p w14:paraId="3596B0A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3.2.1 报价应包括国家规定的增值税税金，除</w:t>
      </w:r>
      <w:r>
        <w:rPr>
          <w:rFonts w:hint="eastAsia" w:ascii="仿宋" w:hAnsi="仿宋" w:eastAsia="仿宋" w:cs="仿宋"/>
          <w:sz w:val="24"/>
          <w:szCs w:val="24"/>
          <w:lang w:val="en-US" w:eastAsia="zh-CN"/>
        </w:rPr>
        <w:t>供应商</w:t>
      </w:r>
      <w:r>
        <w:rPr>
          <w:rFonts w:hint="eastAsia" w:ascii="仿宋" w:hAnsi="仿宋" w:eastAsia="仿宋" w:cs="仿宋"/>
          <w:sz w:val="24"/>
          <w:szCs w:val="24"/>
        </w:rPr>
        <w:t>须知前附表另有规定外，增值税税金按一般计税方法计算。</w:t>
      </w:r>
      <w:r>
        <w:rPr>
          <w:rFonts w:hint="eastAsia" w:ascii="仿宋" w:hAnsi="仿宋" w:eastAsia="仿宋" w:cs="仿宋"/>
          <w:sz w:val="24"/>
          <w:szCs w:val="24"/>
          <w:lang w:val="en-US" w:eastAsia="zh-CN"/>
        </w:rPr>
        <w:t>供应商</w:t>
      </w:r>
      <w:r>
        <w:rPr>
          <w:rFonts w:hint="eastAsia" w:ascii="仿宋" w:hAnsi="仿宋" w:eastAsia="仿宋" w:cs="仿宋"/>
          <w:sz w:val="24"/>
          <w:szCs w:val="24"/>
        </w:rPr>
        <w:t>应按第六章“</w:t>
      </w:r>
      <w:r>
        <w:rPr>
          <w:rFonts w:hint="eastAsia" w:ascii="仿宋" w:hAnsi="仿宋" w:eastAsia="仿宋" w:cs="仿宋"/>
          <w:sz w:val="24"/>
          <w:szCs w:val="24"/>
          <w:lang w:val="en-US" w:eastAsia="zh-CN"/>
        </w:rPr>
        <w:t>响应</w:t>
      </w:r>
      <w:r>
        <w:rPr>
          <w:rFonts w:hint="eastAsia" w:ascii="仿宋" w:hAnsi="仿宋" w:eastAsia="仿宋" w:cs="仿宋"/>
          <w:sz w:val="24"/>
          <w:szCs w:val="24"/>
        </w:rPr>
        <w:t>文件格式”的要求在</w:t>
      </w:r>
      <w:r>
        <w:rPr>
          <w:rFonts w:hint="eastAsia" w:ascii="仿宋" w:hAnsi="仿宋" w:eastAsia="仿宋" w:cs="仿宋"/>
          <w:sz w:val="24"/>
          <w:szCs w:val="24"/>
          <w:lang w:val="en-US" w:eastAsia="zh-CN"/>
        </w:rPr>
        <w:t>响应</w:t>
      </w:r>
      <w:r>
        <w:rPr>
          <w:rFonts w:hint="eastAsia" w:ascii="仿宋" w:hAnsi="仿宋" w:eastAsia="仿宋" w:cs="仿宋"/>
          <w:sz w:val="24"/>
          <w:szCs w:val="24"/>
        </w:rPr>
        <w:t>函中进行报价并填写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分项报价表</w:t>
      </w:r>
      <w:r>
        <w:rPr>
          <w:rFonts w:hint="eastAsia" w:ascii="仿宋" w:hAnsi="仿宋" w:eastAsia="仿宋" w:cs="仿宋"/>
          <w:sz w:val="24"/>
          <w:szCs w:val="24"/>
          <w:lang w:eastAsia="zh-CN"/>
        </w:rPr>
        <w:t>”</w:t>
      </w:r>
      <w:r>
        <w:rPr>
          <w:rFonts w:hint="eastAsia" w:ascii="仿宋" w:hAnsi="仿宋" w:eastAsia="仿宋" w:cs="仿宋"/>
          <w:sz w:val="24"/>
          <w:szCs w:val="24"/>
        </w:rPr>
        <w:t>。</w:t>
      </w:r>
    </w:p>
    <w:p w14:paraId="6135455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3.2.2 供应商应充分了解采购项目的总体情况以及影响报价的其他要素。对于货物和服务采购项目，采购人在签署成交合同时及合同履行过程中，有权在供应商须知前附表规定的幅度内对采购标的的数量进行增加或减少。</w:t>
      </w:r>
    </w:p>
    <w:p w14:paraId="739824A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3.2.3 采购人设有最高限价的，供应商的报价不得超过最高限价。最高限价或最高限价计算方法在</w:t>
      </w:r>
      <w:bookmarkStart w:id="172" w:name="_Toc247513968"/>
      <w:bookmarkStart w:id="173" w:name="_Toc384308225"/>
      <w:bookmarkStart w:id="174" w:name="_Toc144974512"/>
      <w:bookmarkStart w:id="175" w:name="_Toc352691488"/>
      <w:bookmarkStart w:id="176" w:name="_Toc361508600"/>
      <w:bookmarkStart w:id="177" w:name="_Toc10429"/>
      <w:bookmarkStart w:id="178" w:name="_Toc152045544"/>
      <w:bookmarkStart w:id="179" w:name="_Toc152042320"/>
      <w:bookmarkStart w:id="180" w:name="_Toc369531531"/>
      <w:bookmarkStart w:id="181" w:name="_Toc247527569"/>
      <w:bookmarkStart w:id="182" w:name="_Toc300834965"/>
      <w:r>
        <w:rPr>
          <w:rFonts w:hint="eastAsia" w:ascii="仿宋" w:hAnsi="仿宋" w:eastAsia="仿宋" w:cs="仿宋"/>
          <w:iCs/>
          <w:color w:val="000000"/>
          <w:sz w:val="24"/>
          <w:szCs w:val="24"/>
        </w:rPr>
        <w:t>供应商须知前附表</w:t>
      </w:r>
      <w:r>
        <w:rPr>
          <w:rFonts w:hint="eastAsia" w:ascii="仿宋" w:hAnsi="仿宋" w:eastAsia="仿宋" w:cs="仿宋"/>
          <w:sz w:val="24"/>
          <w:szCs w:val="24"/>
        </w:rPr>
        <w:t>中载明。</w:t>
      </w:r>
      <w:bookmarkEnd w:id="172"/>
      <w:bookmarkEnd w:id="173"/>
      <w:bookmarkEnd w:id="174"/>
      <w:bookmarkEnd w:id="175"/>
      <w:bookmarkEnd w:id="176"/>
      <w:bookmarkEnd w:id="177"/>
      <w:bookmarkEnd w:id="178"/>
      <w:bookmarkEnd w:id="179"/>
      <w:bookmarkEnd w:id="180"/>
      <w:bookmarkEnd w:id="181"/>
      <w:bookmarkEnd w:id="182"/>
    </w:p>
    <w:p w14:paraId="1D895CF2">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3.2.4 本项目的报价方式见</w:t>
      </w:r>
      <w:r>
        <w:rPr>
          <w:rFonts w:hint="eastAsia" w:ascii="仿宋" w:hAnsi="仿宋" w:eastAsia="仿宋" w:cs="仿宋"/>
          <w:sz w:val="24"/>
          <w:szCs w:val="24"/>
          <w:lang w:val="en-US" w:eastAsia="zh-CN"/>
        </w:rPr>
        <w:t>供应商</w:t>
      </w:r>
      <w:r>
        <w:rPr>
          <w:rFonts w:hint="eastAsia" w:ascii="仿宋" w:hAnsi="仿宋" w:eastAsia="仿宋" w:cs="仿宋"/>
          <w:sz w:val="24"/>
          <w:szCs w:val="24"/>
        </w:rPr>
        <w:t>须知前附表。</w:t>
      </w:r>
      <w:r>
        <w:rPr>
          <w:rFonts w:hint="eastAsia" w:ascii="仿宋" w:hAnsi="仿宋" w:eastAsia="仿宋" w:cs="仿宋"/>
          <w:sz w:val="24"/>
          <w:szCs w:val="24"/>
          <w:lang w:val="en-US" w:eastAsia="zh-CN"/>
        </w:rPr>
        <w:t>供应商</w:t>
      </w:r>
      <w:r>
        <w:rPr>
          <w:rFonts w:hint="eastAsia" w:ascii="仿宋" w:hAnsi="仿宋" w:eastAsia="仿宋" w:cs="仿宋"/>
          <w:sz w:val="24"/>
          <w:szCs w:val="24"/>
        </w:rPr>
        <w:t>人在递交响应文件截止时间</w:t>
      </w:r>
      <w:r>
        <w:rPr>
          <w:rFonts w:hint="eastAsia" w:ascii="仿宋" w:hAnsi="仿宋" w:eastAsia="仿宋" w:cs="仿宋"/>
          <w:sz w:val="24"/>
          <w:szCs w:val="24"/>
          <w:lang w:val="en-US" w:eastAsia="zh-CN"/>
        </w:rPr>
        <w:t>前</w:t>
      </w:r>
      <w:r>
        <w:rPr>
          <w:rFonts w:hint="eastAsia" w:ascii="仿宋" w:hAnsi="仿宋" w:eastAsia="仿宋" w:cs="仿宋"/>
          <w:sz w:val="24"/>
          <w:szCs w:val="24"/>
        </w:rPr>
        <w:t>修改</w:t>
      </w:r>
      <w:r>
        <w:rPr>
          <w:rFonts w:hint="eastAsia" w:ascii="仿宋" w:hAnsi="仿宋" w:eastAsia="仿宋" w:cs="仿宋"/>
          <w:sz w:val="24"/>
          <w:szCs w:val="24"/>
          <w:lang w:val="en-US" w:eastAsia="zh-CN"/>
        </w:rPr>
        <w:t>响应</w:t>
      </w:r>
      <w:r>
        <w:rPr>
          <w:rFonts w:hint="eastAsia" w:ascii="仿宋" w:hAnsi="仿宋" w:eastAsia="仿宋" w:cs="仿宋"/>
          <w:sz w:val="24"/>
          <w:szCs w:val="24"/>
        </w:rPr>
        <w:t>文件</w:t>
      </w:r>
      <w:r>
        <w:rPr>
          <w:rFonts w:hint="eastAsia" w:ascii="仿宋" w:hAnsi="仿宋" w:eastAsia="仿宋" w:cs="仿宋"/>
          <w:sz w:val="24"/>
          <w:szCs w:val="24"/>
          <w:lang w:val="en-US" w:eastAsia="zh-CN"/>
        </w:rPr>
        <w:t>响应</w:t>
      </w:r>
      <w:r>
        <w:rPr>
          <w:rFonts w:hint="eastAsia" w:ascii="仿宋" w:hAnsi="仿宋" w:eastAsia="仿宋" w:cs="仿宋"/>
          <w:sz w:val="24"/>
          <w:szCs w:val="24"/>
        </w:rPr>
        <w:t>函中的报价，应同时修改</w:t>
      </w:r>
      <w:r>
        <w:rPr>
          <w:rFonts w:hint="eastAsia" w:ascii="仿宋" w:hAnsi="仿宋" w:eastAsia="仿宋" w:cs="仿宋"/>
          <w:sz w:val="24"/>
          <w:szCs w:val="24"/>
          <w:lang w:val="en-US" w:eastAsia="zh-CN"/>
        </w:rPr>
        <w:t>响应</w:t>
      </w:r>
      <w:r>
        <w:rPr>
          <w:rFonts w:hint="eastAsia" w:ascii="仿宋" w:hAnsi="仿宋" w:eastAsia="仿宋" w:cs="仿宋"/>
          <w:sz w:val="24"/>
          <w:szCs w:val="24"/>
        </w:rPr>
        <w:t>文件</w:t>
      </w:r>
      <w:r>
        <w:rPr>
          <w:rFonts w:hint="eastAsia" w:ascii="仿宋" w:hAnsi="仿宋" w:eastAsia="仿宋" w:cs="仿宋"/>
          <w:sz w:val="24"/>
          <w:szCs w:val="24"/>
          <w:lang w:eastAsia="zh-CN"/>
        </w:rPr>
        <w:t>“</w:t>
      </w:r>
      <w:r>
        <w:rPr>
          <w:rFonts w:hint="eastAsia" w:ascii="仿宋" w:hAnsi="仿宋" w:eastAsia="仿宋" w:cs="仿宋"/>
          <w:sz w:val="24"/>
          <w:szCs w:val="24"/>
        </w:rPr>
        <w:t>勘察费用清单</w:t>
      </w:r>
      <w:r>
        <w:rPr>
          <w:rFonts w:hint="eastAsia" w:ascii="仿宋" w:hAnsi="仿宋" w:eastAsia="仿宋" w:cs="仿宋"/>
          <w:sz w:val="24"/>
          <w:szCs w:val="24"/>
          <w:lang w:eastAsia="zh-CN"/>
        </w:rPr>
        <w:t>”</w:t>
      </w:r>
      <w:r>
        <w:rPr>
          <w:rFonts w:hint="eastAsia" w:ascii="仿宋" w:hAnsi="仿宋" w:eastAsia="仿宋" w:cs="仿宋"/>
          <w:sz w:val="24"/>
          <w:szCs w:val="24"/>
        </w:rPr>
        <w:t>中的相应报价。此修改须符合本章第4.3款的有关要求。</w:t>
      </w:r>
    </w:p>
    <w:p w14:paraId="083D47C2">
      <w:pPr>
        <w:pStyle w:val="4"/>
        <w:spacing w:line="240" w:lineRule="auto"/>
        <w:ind w:firstLine="137"/>
        <w:rPr>
          <w:rFonts w:hint="eastAsia" w:ascii="仿宋" w:hAnsi="仿宋" w:eastAsia="仿宋" w:cs="仿宋"/>
          <w:color w:val="000000"/>
        </w:rPr>
      </w:pPr>
      <w:bookmarkStart w:id="183" w:name="_Toc501460670"/>
      <w:bookmarkStart w:id="184" w:name="_Toc28386"/>
      <w:r>
        <w:rPr>
          <w:rFonts w:hint="eastAsia" w:ascii="仿宋" w:hAnsi="仿宋" w:eastAsia="仿宋" w:cs="仿宋"/>
          <w:color w:val="000000"/>
        </w:rPr>
        <w:t>3.3 响应文件有效期</w:t>
      </w:r>
      <w:bookmarkEnd w:id="183"/>
      <w:bookmarkEnd w:id="184"/>
    </w:p>
    <w:p w14:paraId="4DB82E40">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3.3.1 除</w:t>
      </w:r>
      <w:r>
        <w:rPr>
          <w:rFonts w:hint="eastAsia" w:ascii="仿宋" w:hAnsi="仿宋" w:eastAsia="仿宋" w:cs="仿宋"/>
          <w:iCs/>
          <w:color w:val="000000"/>
          <w:sz w:val="24"/>
          <w:szCs w:val="24"/>
        </w:rPr>
        <w:t>供应商须知前附表</w:t>
      </w:r>
      <w:r>
        <w:rPr>
          <w:rFonts w:hint="eastAsia" w:ascii="仿宋" w:hAnsi="仿宋" w:eastAsia="仿宋" w:cs="仿宋"/>
          <w:sz w:val="24"/>
          <w:szCs w:val="24"/>
        </w:rPr>
        <w:t>另有规定外，响应文件有效期应为90日，从采购文件规定的递交响应文件的截止时间开始计算</w:t>
      </w:r>
      <w:r>
        <w:rPr>
          <w:rFonts w:hint="eastAsia" w:ascii="仿宋" w:hAnsi="仿宋" w:eastAsia="仿宋" w:cs="仿宋"/>
          <w:color w:val="000000"/>
          <w:sz w:val="24"/>
          <w:szCs w:val="24"/>
        </w:rPr>
        <w:t>。</w:t>
      </w:r>
    </w:p>
    <w:p w14:paraId="5E47A01A">
      <w:pPr>
        <w:spacing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3.3.2 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w:t>
      </w:r>
      <w:r>
        <w:rPr>
          <w:rFonts w:hint="eastAsia" w:ascii="仿宋" w:hAnsi="仿宋" w:eastAsia="仿宋" w:cs="仿宋"/>
          <w:sz w:val="24"/>
          <w:szCs w:val="24"/>
        </w:rPr>
        <w:t>有权收回其响应保证金。</w:t>
      </w:r>
    </w:p>
    <w:p w14:paraId="7B322A69">
      <w:pPr>
        <w:pStyle w:val="4"/>
        <w:spacing w:line="240" w:lineRule="auto"/>
        <w:ind w:firstLine="137"/>
        <w:rPr>
          <w:rFonts w:hint="eastAsia" w:ascii="仿宋" w:hAnsi="仿宋" w:eastAsia="仿宋" w:cs="仿宋"/>
          <w:color w:val="000000"/>
        </w:rPr>
      </w:pPr>
      <w:bookmarkStart w:id="185" w:name="_Toc501460671"/>
      <w:bookmarkStart w:id="186" w:name="_Toc18006"/>
      <w:r>
        <w:rPr>
          <w:rFonts w:hint="eastAsia" w:ascii="仿宋" w:hAnsi="仿宋" w:eastAsia="仿宋" w:cs="仿宋"/>
          <w:color w:val="000000"/>
        </w:rPr>
        <w:t xml:space="preserve">3.4 </w:t>
      </w:r>
      <w:bookmarkEnd w:id="185"/>
      <w:r>
        <w:rPr>
          <w:rFonts w:hint="eastAsia" w:ascii="仿宋" w:hAnsi="仿宋" w:eastAsia="仿宋" w:cs="仿宋"/>
          <w:color w:val="000000"/>
        </w:rPr>
        <w:t>响应保证金</w:t>
      </w:r>
      <w:bookmarkEnd w:id="186"/>
    </w:p>
    <w:p w14:paraId="629BAAAD">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3.4.1 </w:t>
      </w:r>
      <w:r>
        <w:rPr>
          <w:rFonts w:hint="eastAsia" w:ascii="仿宋" w:hAnsi="仿宋" w:eastAsia="仿宋" w:cs="仿宋"/>
          <w:iCs/>
          <w:color w:val="000000"/>
          <w:sz w:val="24"/>
          <w:szCs w:val="24"/>
        </w:rPr>
        <w:t>供应商须知前附表</w:t>
      </w:r>
      <w:r>
        <w:rPr>
          <w:rFonts w:hint="eastAsia" w:ascii="仿宋" w:hAnsi="仿宋" w:eastAsia="仿宋" w:cs="仿宋"/>
          <w:color w:val="000000"/>
          <w:sz w:val="24"/>
          <w:szCs w:val="24"/>
        </w:rPr>
        <w:t>规定要求递交响应保证金的，供应商在递交响应文件的同时，应按供应商须知前附表规定的金额</w:t>
      </w:r>
      <w:bookmarkStart w:id="187" w:name="_Toc4592"/>
      <w:bookmarkStart w:id="188" w:name="_Toc247527570"/>
      <w:bookmarkStart w:id="189" w:name="_Toc152042321"/>
      <w:bookmarkStart w:id="190" w:name="_Toc152045545"/>
      <w:bookmarkStart w:id="191" w:name="_Toc361508601"/>
      <w:bookmarkStart w:id="192" w:name="_Toc144974513"/>
      <w:bookmarkStart w:id="193" w:name="_Toc369531532"/>
      <w:bookmarkStart w:id="194" w:name="_Toc247513969"/>
      <w:bookmarkStart w:id="195" w:name="_Toc384308226"/>
      <w:bookmarkStart w:id="196" w:name="_Toc352691489"/>
      <w:bookmarkStart w:id="197" w:name="_Toc300834966"/>
      <w:r>
        <w:rPr>
          <w:rFonts w:hint="eastAsia" w:ascii="仿宋" w:hAnsi="仿宋" w:eastAsia="仿宋" w:cs="仿宋"/>
          <w:color w:val="000000"/>
          <w:sz w:val="24"/>
          <w:szCs w:val="24"/>
        </w:rPr>
        <w:t>、形式和</w:t>
      </w:r>
      <w:r>
        <w:rPr>
          <w:rFonts w:hint="eastAsia" w:ascii="仿宋" w:hAnsi="仿宋" w:eastAsia="仿宋" w:cs="仿宋"/>
          <w:sz w:val="24"/>
          <w:szCs w:val="24"/>
        </w:rPr>
        <w:t>采购文件提供的格式（见第六章“响应文件格式”四、响应保证金</w:t>
      </w:r>
      <w:bookmarkEnd w:id="187"/>
      <w:bookmarkEnd w:id="188"/>
      <w:bookmarkEnd w:id="189"/>
      <w:bookmarkEnd w:id="190"/>
      <w:bookmarkEnd w:id="191"/>
      <w:bookmarkEnd w:id="192"/>
      <w:bookmarkEnd w:id="193"/>
      <w:bookmarkEnd w:id="194"/>
      <w:bookmarkEnd w:id="195"/>
      <w:bookmarkEnd w:id="196"/>
      <w:bookmarkEnd w:id="197"/>
      <w:r>
        <w:rPr>
          <w:rFonts w:hint="eastAsia" w:ascii="仿宋" w:hAnsi="仿宋" w:eastAsia="仿宋" w:cs="仿宋"/>
          <w:sz w:val="24"/>
          <w:szCs w:val="24"/>
        </w:rPr>
        <w:t>）</w:t>
      </w:r>
      <w:r>
        <w:rPr>
          <w:rFonts w:hint="eastAsia" w:ascii="仿宋" w:hAnsi="仿宋" w:eastAsia="仿宋" w:cs="仿宋"/>
          <w:color w:val="000000"/>
          <w:sz w:val="24"/>
          <w:szCs w:val="24"/>
        </w:rPr>
        <w:t>递交响应保证金，并作为其响应文件的组成部分。供应商不按要求递交响应保证金的，其</w:t>
      </w:r>
      <w:r>
        <w:rPr>
          <w:rFonts w:hint="eastAsia" w:ascii="仿宋" w:hAnsi="仿宋" w:eastAsia="仿宋" w:cs="仿宋"/>
          <w:sz w:val="24"/>
          <w:szCs w:val="24"/>
        </w:rPr>
        <w:t>响应文件将被视为无效。</w:t>
      </w:r>
    </w:p>
    <w:p w14:paraId="4E37365E">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3.4.2 </w:t>
      </w:r>
      <w:r>
        <w:rPr>
          <w:rFonts w:hint="eastAsia" w:ascii="仿宋" w:hAnsi="仿宋" w:eastAsia="仿宋" w:cs="仿宋"/>
          <w:iCs/>
          <w:color w:val="000000"/>
          <w:sz w:val="24"/>
          <w:szCs w:val="24"/>
        </w:rPr>
        <w:t>除供应商须知前附表</w:t>
      </w:r>
      <w:r>
        <w:rPr>
          <w:rFonts w:hint="eastAsia" w:ascii="仿宋" w:hAnsi="仿宋" w:eastAsia="仿宋" w:cs="仿宋"/>
          <w:color w:val="000000"/>
          <w:sz w:val="24"/>
          <w:szCs w:val="24"/>
        </w:rPr>
        <w:t>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115E8638">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3.4.3 有下列情形之一的，响应保证金将不予退还：</w:t>
      </w:r>
    </w:p>
    <w:p w14:paraId="77FB8214">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（1）供应商在响应文件有效期内撤销响应文件；</w:t>
      </w:r>
    </w:p>
    <w:p w14:paraId="337F086D">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（2）成交供应商在收到成交通知书后，无正当理由不与采购人订立合同，在签订合同时向采购人提出附加条件，或者不按照采购文件要求递交履约保证金；</w:t>
      </w:r>
    </w:p>
    <w:p w14:paraId="251A1E22">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（3）发生</w:t>
      </w:r>
      <w:r>
        <w:rPr>
          <w:rFonts w:hint="eastAsia" w:ascii="仿宋" w:hAnsi="仿宋" w:eastAsia="仿宋" w:cs="仿宋"/>
          <w:iCs/>
          <w:color w:val="000000"/>
          <w:sz w:val="24"/>
          <w:szCs w:val="24"/>
        </w:rPr>
        <w:t>供应商须知前附表</w:t>
      </w:r>
      <w:r>
        <w:rPr>
          <w:rFonts w:hint="eastAsia" w:ascii="仿宋" w:hAnsi="仿宋" w:eastAsia="仿宋" w:cs="仿宋"/>
          <w:sz w:val="24"/>
          <w:szCs w:val="24"/>
        </w:rPr>
        <w:t>规定的其他不予退还响应保证金的情形</w:t>
      </w:r>
      <w:r>
        <w:rPr>
          <w:rFonts w:hint="eastAsia" w:ascii="仿宋" w:hAnsi="仿宋" w:eastAsia="仿宋" w:cs="仿宋"/>
          <w:color w:val="000000"/>
          <w:sz w:val="24"/>
          <w:szCs w:val="24"/>
        </w:rPr>
        <w:t>。</w:t>
      </w:r>
    </w:p>
    <w:p w14:paraId="46E936C6">
      <w:pPr>
        <w:pStyle w:val="4"/>
        <w:spacing w:line="240" w:lineRule="auto"/>
        <w:ind w:firstLine="137"/>
        <w:rPr>
          <w:rFonts w:hint="eastAsia" w:ascii="仿宋" w:hAnsi="仿宋" w:eastAsia="仿宋" w:cs="仿宋"/>
          <w:color w:val="000000"/>
        </w:rPr>
      </w:pPr>
      <w:bookmarkStart w:id="198" w:name="_Toc702"/>
      <w:bookmarkStart w:id="199" w:name="_Toc501460673"/>
      <w:r>
        <w:rPr>
          <w:rFonts w:hint="eastAsia" w:ascii="仿宋" w:hAnsi="仿宋" w:eastAsia="仿宋" w:cs="仿宋"/>
          <w:color w:val="000000"/>
        </w:rPr>
        <w:t>3.5 资格审查资料</w:t>
      </w:r>
      <w:bookmarkEnd w:id="198"/>
      <w:bookmarkEnd w:id="199"/>
    </w:p>
    <w:p w14:paraId="56A1E3F6">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3.5.1 </w:t>
      </w:r>
      <w:r>
        <w:rPr>
          <w:rFonts w:hint="eastAsia" w:ascii="仿宋" w:hAnsi="仿宋" w:eastAsia="仿宋" w:cs="仿宋"/>
          <w:color w:val="000000"/>
          <w:sz w:val="24"/>
          <w:szCs w:val="24"/>
          <w:lang w:val="en-US" w:eastAsia="zh-CN"/>
        </w:rPr>
        <w:t>供应商</w:t>
      </w:r>
      <w:r>
        <w:rPr>
          <w:rFonts w:hint="eastAsia" w:ascii="仿宋" w:hAnsi="仿宋" w:eastAsia="仿宋" w:cs="仿宋"/>
          <w:color w:val="000000"/>
          <w:sz w:val="24"/>
          <w:szCs w:val="24"/>
        </w:rPr>
        <w:t>应按照</w:t>
      </w:r>
      <w:r>
        <w:rPr>
          <w:rFonts w:hint="eastAsia" w:ascii="仿宋" w:hAnsi="仿宋" w:eastAsia="仿宋" w:cs="仿宋"/>
          <w:color w:val="000000"/>
          <w:sz w:val="24"/>
          <w:szCs w:val="24"/>
          <w:lang w:val="en-US" w:eastAsia="zh-CN"/>
        </w:rPr>
        <w:t>询比采购公告</w:t>
      </w:r>
      <w:r>
        <w:rPr>
          <w:rFonts w:hint="eastAsia" w:ascii="仿宋" w:hAnsi="仿宋" w:eastAsia="仿宋" w:cs="仿宋"/>
          <w:color w:val="000000"/>
          <w:sz w:val="24"/>
          <w:szCs w:val="24"/>
        </w:rPr>
        <w:t>要求提供资格审查资料，内容及格式见第六章“</w:t>
      </w:r>
      <w:r>
        <w:rPr>
          <w:rFonts w:hint="eastAsia" w:ascii="仿宋" w:hAnsi="仿宋" w:eastAsia="仿宋" w:cs="仿宋"/>
          <w:color w:val="000000"/>
          <w:sz w:val="24"/>
          <w:szCs w:val="24"/>
          <w:lang w:val="en-US" w:eastAsia="zh-CN"/>
        </w:rPr>
        <w:t>响应</w:t>
      </w:r>
      <w:r>
        <w:rPr>
          <w:rFonts w:hint="eastAsia" w:ascii="仿宋" w:hAnsi="仿宋" w:eastAsia="仿宋" w:cs="仿宋"/>
          <w:color w:val="000000"/>
          <w:sz w:val="24"/>
          <w:szCs w:val="24"/>
        </w:rPr>
        <w:t>文件格式”要求。</w:t>
      </w:r>
    </w:p>
    <w:p w14:paraId="491115F7">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3.5.2 </w:t>
      </w:r>
      <w:r>
        <w:rPr>
          <w:rFonts w:hint="eastAsia" w:ascii="仿宋" w:hAnsi="仿宋" w:eastAsia="仿宋" w:cs="仿宋"/>
          <w:color w:val="000000"/>
          <w:sz w:val="24"/>
          <w:szCs w:val="24"/>
          <w:lang w:val="en-US" w:eastAsia="zh-CN"/>
        </w:rPr>
        <w:t>询比采购公告</w:t>
      </w:r>
      <w:r>
        <w:rPr>
          <w:rFonts w:hint="eastAsia" w:ascii="仿宋" w:hAnsi="仿宋" w:eastAsia="仿宋" w:cs="仿宋"/>
          <w:color w:val="000000"/>
          <w:sz w:val="24"/>
          <w:szCs w:val="24"/>
        </w:rPr>
        <w:t>规定接受联合体</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的，资格审查资料应包括联合体各方相关情况。</w:t>
      </w:r>
    </w:p>
    <w:p w14:paraId="1AAB02A5">
      <w:pPr>
        <w:pStyle w:val="4"/>
        <w:spacing w:line="240" w:lineRule="auto"/>
        <w:ind w:firstLine="137"/>
        <w:rPr>
          <w:rFonts w:hint="eastAsia" w:ascii="仿宋" w:hAnsi="仿宋" w:eastAsia="仿宋" w:cs="仿宋"/>
          <w:color w:val="000000"/>
          <w:sz w:val="24"/>
          <w:szCs w:val="24"/>
        </w:rPr>
      </w:pPr>
      <w:bookmarkStart w:id="200" w:name="_Toc501460674"/>
      <w:bookmarkStart w:id="201" w:name="_Toc28844"/>
      <w:r>
        <w:rPr>
          <w:rFonts w:hint="eastAsia" w:ascii="仿宋" w:hAnsi="仿宋" w:eastAsia="仿宋" w:cs="仿宋"/>
          <w:color w:val="000000"/>
          <w:sz w:val="24"/>
          <w:szCs w:val="24"/>
        </w:rPr>
        <w:t>3.</w:t>
      </w:r>
      <w:bookmarkEnd w:id="200"/>
      <w:r>
        <w:rPr>
          <w:rFonts w:hint="eastAsia" w:ascii="仿宋" w:hAnsi="仿宋" w:eastAsia="仿宋" w:cs="仿宋"/>
          <w:color w:val="000000"/>
          <w:sz w:val="24"/>
          <w:szCs w:val="24"/>
        </w:rPr>
        <w:t>6 响应方案</w:t>
      </w:r>
      <w:bookmarkEnd w:id="201"/>
    </w:p>
    <w:p w14:paraId="4D957700">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3.6.1 响应文件应当对采购文件中的实质性内容作出响应。采购需求中明确为关键条款（标记“*”）的，供应商还应按照</w:t>
      </w:r>
      <w:r>
        <w:rPr>
          <w:rFonts w:hint="eastAsia" w:ascii="仿宋" w:hAnsi="仿宋" w:eastAsia="仿宋" w:cs="仿宋"/>
          <w:iCs/>
          <w:color w:val="000000"/>
          <w:sz w:val="24"/>
          <w:szCs w:val="24"/>
        </w:rPr>
        <w:t>供应商须知前附表的规定</w:t>
      </w:r>
      <w:r>
        <w:rPr>
          <w:rFonts w:hint="eastAsia" w:ascii="仿宋" w:hAnsi="仿宋" w:eastAsia="仿宋" w:cs="仿宋"/>
          <w:color w:val="000000"/>
          <w:sz w:val="24"/>
          <w:szCs w:val="24"/>
        </w:rPr>
        <w:t>提供有关证据或证明材料。</w:t>
      </w:r>
    </w:p>
    <w:p w14:paraId="6503F0C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3.6.2供应商只能提出唯一的响应方案。供应商在响应文件中提出多个响应方案的，其响应文件将被视为无效。</w:t>
      </w:r>
    </w:p>
    <w:p w14:paraId="421B930B">
      <w:pPr>
        <w:spacing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3.6.3 响应文件对采购文件的全部偏差，均应在响应文件的</w:t>
      </w:r>
      <w:r>
        <w:rPr>
          <w:rFonts w:hint="eastAsia" w:ascii="仿宋" w:hAnsi="仿宋" w:eastAsia="仿宋" w:cs="仿宋"/>
          <w:sz w:val="24"/>
          <w:szCs w:val="24"/>
        </w:rPr>
        <w:t>商务和技术偏差表</w:t>
      </w:r>
      <w:r>
        <w:rPr>
          <w:rFonts w:hint="eastAsia" w:ascii="仿宋" w:hAnsi="仿宋" w:eastAsia="仿宋" w:cs="仿宋"/>
          <w:color w:val="000000"/>
          <w:sz w:val="24"/>
          <w:szCs w:val="24"/>
        </w:rPr>
        <w:t>中列明。响应文件偏差表中未列明的内容，将</w:t>
      </w:r>
      <w:r>
        <w:rPr>
          <w:rFonts w:hint="eastAsia" w:ascii="仿宋" w:hAnsi="仿宋" w:eastAsia="仿宋" w:cs="仿宋"/>
          <w:sz w:val="24"/>
          <w:szCs w:val="24"/>
        </w:rPr>
        <w:t>视为供应商响应采购文件的要求；</w:t>
      </w:r>
      <w:r>
        <w:rPr>
          <w:rFonts w:hint="eastAsia" w:ascii="仿宋" w:hAnsi="仿宋" w:eastAsia="仿宋" w:cs="仿宋"/>
          <w:color w:val="000000"/>
          <w:sz w:val="24"/>
          <w:szCs w:val="24"/>
        </w:rPr>
        <w:t>但如发现响应文件的其他部分与商务和技术偏差表的描述不一致或供应商的响应缺乏支持性文件，则评审小组有权要求供应商对相关问题进行澄清，并根据澄清结果对供应商的响应文件进行评审。</w:t>
      </w:r>
    </w:p>
    <w:p w14:paraId="16BE67C9">
      <w:pPr>
        <w:pStyle w:val="4"/>
        <w:spacing w:line="240" w:lineRule="auto"/>
        <w:ind w:firstLine="137"/>
        <w:rPr>
          <w:rFonts w:hint="eastAsia" w:ascii="仿宋" w:hAnsi="仿宋" w:eastAsia="仿宋" w:cs="仿宋"/>
          <w:color w:val="000000"/>
        </w:rPr>
      </w:pPr>
      <w:bookmarkStart w:id="202" w:name="_Toc24337"/>
      <w:bookmarkStart w:id="203" w:name="_Toc501460675"/>
      <w:bookmarkStart w:id="204" w:name="_Toc501460679"/>
      <w:bookmarkStart w:id="205" w:name="_Toc19335"/>
      <w:r>
        <w:rPr>
          <w:rFonts w:hint="eastAsia" w:ascii="仿宋" w:hAnsi="仿宋" w:eastAsia="仿宋" w:cs="仿宋"/>
          <w:color w:val="000000"/>
        </w:rPr>
        <w:t>3.7 响应文件的编制</w:t>
      </w:r>
      <w:bookmarkEnd w:id="202"/>
      <w:bookmarkEnd w:id="203"/>
    </w:p>
    <w:p w14:paraId="350E6BBD">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3.7.1 响应文件应按第六章“响应文件格式”进行编写，如有必要，可以增加附页，作为响应文件的组成部分。</w:t>
      </w:r>
    </w:p>
    <w:p w14:paraId="71556F0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3.7.2 响应文件应当对</w:t>
      </w:r>
      <w:r>
        <w:rPr>
          <w:rFonts w:hint="eastAsia" w:ascii="仿宋" w:hAnsi="仿宋" w:eastAsia="仿宋" w:cs="仿宋"/>
          <w:color w:val="000000"/>
          <w:sz w:val="24"/>
          <w:szCs w:val="24"/>
          <w:lang w:eastAsia="zh-CN"/>
        </w:rPr>
        <w:t>询比</w:t>
      </w:r>
      <w:r>
        <w:rPr>
          <w:rFonts w:hint="eastAsia" w:ascii="仿宋" w:hAnsi="仿宋" w:eastAsia="仿宋" w:cs="仿宋"/>
          <w:color w:val="000000"/>
          <w:sz w:val="24"/>
          <w:szCs w:val="24"/>
        </w:rPr>
        <w:t>文件有关</w:t>
      </w:r>
      <w:r>
        <w:rPr>
          <w:rFonts w:hint="eastAsia" w:ascii="Times New Roman" w:hAnsi="Times New Roman" w:eastAsia="仿宋" w:cs="Times New Roman"/>
          <w:color w:val="000000"/>
          <w:sz w:val="24"/>
          <w:szCs w:val="24"/>
        </w:rPr>
        <w:t>监理服务期限</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响应文件</w:t>
      </w:r>
      <w:r>
        <w:rPr>
          <w:rFonts w:hint="eastAsia" w:ascii="仿宋" w:hAnsi="仿宋" w:eastAsia="仿宋" w:cs="仿宋"/>
          <w:color w:val="000000"/>
          <w:sz w:val="24"/>
          <w:szCs w:val="24"/>
        </w:rPr>
        <w:t>有效期、</w:t>
      </w:r>
      <w:r>
        <w:rPr>
          <w:rFonts w:hint="eastAsia" w:ascii="仿宋" w:hAnsi="仿宋" w:eastAsia="仿宋" w:cs="仿宋"/>
          <w:sz w:val="24"/>
          <w:szCs w:val="24"/>
          <w:lang w:val="en-US" w:eastAsia="zh-CN"/>
        </w:rPr>
        <w:t>委托</w:t>
      </w:r>
      <w:r>
        <w:rPr>
          <w:rFonts w:hint="eastAsia" w:ascii="仿宋" w:hAnsi="仿宋" w:eastAsia="仿宋" w:cs="仿宋"/>
          <w:sz w:val="24"/>
          <w:szCs w:val="24"/>
        </w:rPr>
        <w:t>人要求</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范围等实质性内容作出响应。</w:t>
      </w:r>
      <w:r>
        <w:rPr>
          <w:rFonts w:hint="eastAsia" w:ascii="仿宋" w:hAnsi="仿宋" w:eastAsia="仿宋" w:cs="仿宋"/>
          <w:color w:val="000000"/>
          <w:sz w:val="24"/>
          <w:szCs w:val="24"/>
          <w:lang w:val="en-US" w:eastAsia="zh-CN"/>
        </w:rPr>
        <w:t>响应</w:t>
      </w:r>
      <w:r>
        <w:rPr>
          <w:rFonts w:hint="eastAsia" w:ascii="仿宋" w:hAnsi="仿宋" w:eastAsia="仿宋" w:cs="仿宋"/>
          <w:color w:val="000000"/>
          <w:sz w:val="24"/>
          <w:szCs w:val="24"/>
        </w:rPr>
        <w:t>文件在满足</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文件实质性要求的基础上，可以提出比</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文件要求更有利于</w:t>
      </w:r>
      <w:r>
        <w:rPr>
          <w:rFonts w:hint="eastAsia" w:ascii="仿宋" w:hAnsi="仿宋" w:eastAsia="仿宋" w:cs="仿宋"/>
          <w:color w:val="000000"/>
          <w:sz w:val="24"/>
          <w:szCs w:val="24"/>
          <w:lang w:val="en-US" w:eastAsia="zh-CN"/>
        </w:rPr>
        <w:t>采购人</w:t>
      </w:r>
      <w:r>
        <w:rPr>
          <w:rFonts w:hint="eastAsia" w:ascii="仿宋" w:hAnsi="仿宋" w:eastAsia="仿宋" w:cs="仿宋"/>
          <w:color w:val="000000"/>
          <w:sz w:val="24"/>
          <w:szCs w:val="24"/>
        </w:rPr>
        <w:t>的承诺。</w:t>
      </w:r>
    </w:p>
    <w:p w14:paraId="3E15F95C">
      <w:pPr>
        <w:pStyle w:val="3"/>
        <w:rPr>
          <w:rFonts w:hint="eastAsia" w:ascii="仿宋" w:hAnsi="仿宋" w:eastAsia="仿宋" w:cs="仿宋"/>
          <w:color w:val="000000"/>
        </w:rPr>
      </w:pPr>
      <w:bookmarkStart w:id="206" w:name="_Toc501460676"/>
      <w:bookmarkStart w:id="207" w:name="_Toc22007"/>
      <w:r>
        <w:rPr>
          <w:rFonts w:hint="eastAsia" w:ascii="仿宋" w:hAnsi="仿宋" w:eastAsia="仿宋" w:cs="仿宋"/>
          <w:color w:val="000000"/>
        </w:rPr>
        <w:t xml:space="preserve">4. </w:t>
      </w:r>
      <w:bookmarkEnd w:id="206"/>
      <w:r>
        <w:rPr>
          <w:rFonts w:hint="eastAsia" w:ascii="仿宋" w:hAnsi="仿宋" w:eastAsia="仿宋" w:cs="仿宋"/>
          <w:color w:val="000000"/>
        </w:rPr>
        <w:t>响应文件的递交</w:t>
      </w:r>
      <w:bookmarkEnd w:id="207"/>
    </w:p>
    <w:p w14:paraId="41E6CC07">
      <w:pPr>
        <w:pStyle w:val="4"/>
        <w:spacing w:line="240" w:lineRule="auto"/>
        <w:ind w:firstLine="137"/>
        <w:rPr>
          <w:rFonts w:hint="eastAsia" w:ascii="仿宋" w:hAnsi="仿宋" w:eastAsia="仿宋" w:cs="仿宋"/>
          <w:color w:val="000000"/>
        </w:rPr>
      </w:pPr>
      <w:bookmarkStart w:id="208" w:name="_Toc28968"/>
      <w:bookmarkStart w:id="209" w:name="_Toc501460677"/>
      <w:bookmarkStart w:id="210" w:name="_Toc22786"/>
      <w:r>
        <w:rPr>
          <w:rFonts w:hint="eastAsia" w:ascii="仿宋" w:hAnsi="仿宋" w:eastAsia="仿宋" w:cs="仿宋"/>
          <w:color w:val="000000"/>
        </w:rPr>
        <w:t>4</w:t>
      </w:r>
      <w:bookmarkEnd w:id="208"/>
      <w:bookmarkEnd w:id="209"/>
      <w:r>
        <w:rPr>
          <w:rFonts w:hint="eastAsia" w:ascii="仿宋" w:hAnsi="仿宋" w:eastAsia="仿宋" w:cs="仿宋"/>
          <w:color w:val="000000"/>
        </w:rPr>
        <w:t>.1 响应文件的包装和标记</w:t>
      </w:r>
      <w:bookmarkEnd w:id="210"/>
    </w:p>
    <w:p w14:paraId="416DE3ED">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4.1.1 纸质版响应文件应密封包装，未密封的响应文件，采购人将拒绝接收。</w:t>
      </w:r>
    </w:p>
    <w:p w14:paraId="40AC831A">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4.1.2 纸质版响应文件封套上应载明的内容见供应商须知前附表。</w:t>
      </w:r>
    </w:p>
    <w:p w14:paraId="46519768">
      <w:pPr>
        <w:pStyle w:val="4"/>
        <w:spacing w:line="240" w:lineRule="auto"/>
        <w:ind w:firstLine="137"/>
        <w:rPr>
          <w:rFonts w:hint="eastAsia" w:ascii="仿宋" w:hAnsi="仿宋" w:eastAsia="仿宋" w:cs="仿宋"/>
          <w:color w:val="000000"/>
        </w:rPr>
      </w:pPr>
      <w:bookmarkStart w:id="211" w:name="_Toc11609"/>
      <w:r>
        <w:rPr>
          <w:rFonts w:hint="eastAsia" w:ascii="仿宋" w:hAnsi="仿宋" w:eastAsia="仿宋" w:cs="仿宋"/>
          <w:color w:val="000000"/>
        </w:rPr>
        <w:t>4.2 响应文件的递交</w:t>
      </w:r>
      <w:bookmarkEnd w:id="211"/>
    </w:p>
    <w:p w14:paraId="47103143">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4.2.1 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28FE44E4">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4.2.2 除供应商须知前附表另有规定外，供应商所递交的响应文件不予退还。</w:t>
      </w:r>
    </w:p>
    <w:p w14:paraId="2D5EB5C3">
      <w:pPr>
        <w:pStyle w:val="4"/>
        <w:spacing w:line="240" w:lineRule="auto"/>
        <w:ind w:firstLine="137"/>
        <w:rPr>
          <w:rFonts w:hint="eastAsia" w:ascii="仿宋" w:hAnsi="仿宋" w:eastAsia="仿宋" w:cs="仿宋"/>
          <w:color w:val="000000"/>
        </w:rPr>
      </w:pPr>
      <w:bookmarkStart w:id="212" w:name="_Toc73704079"/>
      <w:bookmarkStart w:id="213" w:name="_Toc6622"/>
      <w:r>
        <w:rPr>
          <w:rFonts w:hint="eastAsia" w:ascii="仿宋" w:hAnsi="仿宋" w:eastAsia="仿宋" w:cs="仿宋"/>
          <w:color w:val="000000"/>
        </w:rPr>
        <w:t>4.3 响应文件的修改与撤回</w:t>
      </w:r>
      <w:bookmarkEnd w:id="212"/>
      <w:bookmarkEnd w:id="213"/>
    </w:p>
    <w:p w14:paraId="27EE8957">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4.3.1 在本章第4.2.1项规定的递交响应文件的截止时间前，供应商可以修改或撤回已递交的响应文件，但应以书面形式通知采购人。</w:t>
      </w:r>
    </w:p>
    <w:p w14:paraId="4C81BD74">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4.3.2 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14:paraId="1D4150F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4.3.3 除供应商须知前附表另有规定外，供应商撤回响应文件的，采购人应在5日内退还已收取的响应保证金。</w:t>
      </w:r>
    </w:p>
    <w:p w14:paraId="3DF03B36">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4.3.4 修改的内容为响应文件的组成部分。响应文件的修改文件应按照本章第3条、第4条的规定进行编制、包装、标记和递交，并标明“修改”字样。</w:t>
      </w:r>
    </w:p>
    <w:p w14:paraId="1C204BF7">
      <w:pPr>
        <w:spacing w:line="400" w:lineRule="exact"/>
        <w:ind w:firstLine="480" w:firstLineChars="200"/>
        <w:rPr>
          <w:rFonts w:hint="eastAsia" w:ascii="仿宋" w:hAnsi="仿宋" w:eastAsia="仿宋" w:cs="仿宋"/>
          <w:color w:val="000000"/>
          <w:sz w:val="24"/>
          <w:szCs w:val="24"/>
        </w:rPr>
      </w:pPr>
    </w:p>
    <w:bookmarkEnd w:id="204"/>
    <w:bookmarkEnd w:id="205"/>
    <w:p w14:paraId="671D683C">
      <w:pPr>
        <w:pStyle w:val="4"/>
        <w:spacing w:line="240" w:lineRule="auto"/>
        <w:ind w:firstLine="137"/>
        <w:rPr>
          <w:rFonts w:hint="eastAsia" w:ascii="仿宋" w:hAnsi="仿宋" w:eastAsia="仿宋" w:cs="仿宋"/>
          <w:color w:val="000000"/>
        </w:rPr>
      </w:pPr>
      <w:bookmarkStart w:id="214" w:name="_Toc73704082"/>
      <w:bookmarkStart w:id="215" w:name="_Toc12864"/>
      <w:bookmarkStart w:id="216" w:name="_Toc501460685"/>
      <w:bookmarkStart w:id="217" w:name="_Toc11586"/>
      <w:r>
        <w:rPr>
          <w:rFonts w:hint="eastAsia" w:ascii="仿宋" w:hAnsi="仿宋" w:eastAsia="仿宋" w:cs="仿宋"/>
          <w:color w:val="000000"/>
        </w:rPr>
        <w:t>5.2 开启程序</w:t>
      </w:r>
      <w:bookmarkEnd w:id="214"/>
      <w:bookmarkEnd w:id="215"/>
    </w:p>
    <w:p w14:paraId="2D667315">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主持人按下列程序公开开启响应文件：</w:t>
      </w:r>
    </w:p>
    <w:p w14:paraId="28B03925">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（1）宣布开启会议纪律；</w:t>
      </w:r>
    </w:p>
    <w:p w14:paraId="2BDFCDC7">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（2）宣布参加开启会议的工作人员姓名；</w:t>
      </w:r>
    </w:p>
    <w:p w14:paraId="39867455">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（3）供应商代表检查确认响应文件的密封情况；</w:t>
      </w:r>
    </w:p>
    <w:p w14:paraId="0EC671D1">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（4）供应商代表及相关工作人员等在响应文件开启记录上签字确认；</w:t>
      </w:r>
    </w:p>
    <w:p w14:paraId="3B3700E5">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）开启会议结束。</w:t>
      </w:r>
    </w:p>
    <w:p w14:paraId="1CC49BAE">
      <w:pPr>
        <w:pStyle w:val="4"/>
        <w:spacing w:line="240" w:lineRule="auto"/>
        <w:ind w:firstLine="137"/>
        <w:rPr>
          <w:rFonts w:hint="eastAsia" w:ascii="仿宋" w:hAnsi="仿宋" w:eastAsia="仿宋" w:cs="仿宋"/>
          <w:color w:val="000000"/>
        </w:rPr>
      </w:pPr>
      <w:bookmarkStart w:id="218" w:name="_Toc73704083"/>
      <w:bookmarkStart w:id="219" w:name="_Toc15129"/>
      <w:r>
        <w:rPr>
          <w:rFonts w:hint="eastAsia" w:ascii="仿宋" w:hAnsi="仿宋" w:eastAsia="仿宋" w:cs="仿宋"/>
          <w:color w:val="000000"/>
        </w:rPr>
        <w:t>5.3 递交响应文件的供应商不足的情形</w:t>
      </w:r>
      <w:bookmarkEnd w:id="218"/>
      <w:bookmarkEnd w:id="219"/>
    </w:p>
    <w:p w14:paraId="7B438C17">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38E73F01">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（1）终止询比并重新组织采购</w:t>
      </w:r>
    </w:p>
    <w:p w14:paraId="7A2FA014">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采购项目存在影响公平竞争情形的，采购人应当终止询比采购，并根据不同情形和原因，采取相应纠正措施，重新组织采购。</w:t>
      </w:r>
    </w:p>
    <w:p w14:paraId="479F1161">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采购项目不存在影响公平竞争情形的，采购人也可以选择终止询比采购，采取相应完善措施，重新组织采购。</w:t>
      </w:r>
    </w:p>
    <w:p w14:paraId="57F18552">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（2）继续询比采购</w:t>
      </w:r>
    </w:p>
    <w:p w14:paraId="07A696B6">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项目不存在应该终止询比情形，且采购人也没有自行选择终止询比采购的，采购人应按照本章第5.2款规定的程序继续开启响应文件，并按第三章“评审办法”规定的规则组织响应文件评审，完成询比采购后续程序。</w:t>
      </w:r>
    </w:p>
    <w:p w14:paraId="68378C0C">
      <w:pPr>
        <w:pStyle w:val="3"/>
        <w:rPr>
          <w:rFonts w:hint="eastAsia" w:ascii="仿宋" w:hAnsi="仿宋" w:eastAsia="仿宋" w:cs="仿宋"/>
          <w:color w:val="000000"/>
        </w:rPr>
      </w:pPr>
      <w:r>
        <w:rPr>
          <w:rFonts w:hint="eastAsia" w:ascii="仿宋" w:hAnsi="仿宋" w:eastAsia="仿宋" w:cs="仿宋"/>
          <w:color w:val="000000"/>
        </w:rPr>
        <w:t>6.</w:t>
      </w:r>
      <w:bookmarkEnd w:id="216"/>
      <w:r>
        <w:rPr>
          <w:rFonts w:hint="eastAsia" w:ascii="仿宋" w:hAnsi="仿宋" w:eastAsia="仿宋" w:cs="仿宋"/>
          <w:color w:val="000000"/>
        </w:rPr>
        <w:t>评审</w:t>
      </w:r>
      <w:bookmarkEnd w:id="217"/>
    </w:p>
    <w:p w14:paraId="4B765005">
      <w:pPr>
        <w:pStyle w:val="4"/>
        <w:spacing w:line="240" w:lineRule="auto"/>
        <w:ind w:firstLine="137"/>
        <w:rPr>
          <w:rFonts w:hint="eastAsia" w:ascii="仿宋" w:hAnsi="仿宋" w:eastAsia="仿宋" w:cs="仿宋"/>
          <w:color w:val="000000"/>
        </w:rPr>
      </w:pPr>
      <w:bookmarkStart w:id="220" w:name="_Toc501460686"/>
      <w:bookmarkStart w:id="221" w:name="_Toc30005"/>
      <w:r>
        <w:rPr>
          <w:rFonts w:hint="eastAsia" w:ascii="仿宋" w:hAnsi="仿宋" w:eastAsia="仿宋" w:cs="仿宋"/>
          <w:color w:val="000000"/>
        </w:rPr>
        <w:t xml:space="preserve">6.1 </w:t>
      </w:r>
      <w:bookmarkEnd w:id="220"/>
      <w:r>
        <w:rPr>
          <w:rFonts w:hint="eastAsia" w:ascii="仿宋" w:hAnsi="仿宋" w:eastAsia="仿宋" w:cs="仿宋"/>
          <w:color w:val="000000"/>
        </w:rPr>
        <w:t>评审小组</w:t>
      </w:r>
      <w:bookmarkEnd w:id="221"/>
    </w:p>
    <w:p w14:paraId="62050CA7">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6.1.1 评审由采购人组建的评审小组负责。</w:t>
      </w:r>
    </w:p>
    <w:p w14:paraId="645F3C63">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6.1.2 评审小组成员有下列情形之一的，应当回避：</w:t>
      </w:r>
    </w:p>
    <w:p w14:paraId="78EB9E59">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（1）供应商主要负责人或供应商主要负责人的近亲属；</w:t>
      </w:r>
    </w:p>
    <w:p w14:paraId="6743CC2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（2）与供应商有经济利益关系或其他利害关系，可能影响公正评审的。</w:t>
      </w:r>
    </w:p>
    <w:p w14:paraId="5A2F9564">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6.1.3 评审小组组建后，评审小组成员共同推选或由采购人指定评审小组组长，评审小组组长负责组织评审工作。</w:t>
      </w:r>
    </w:p>
    <w:p w14:paraId="313941F5">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6.1.4 在评审过程中，评审小组成员对需要共同认定的事项存在争议的，将按照少数服从多数的原则作出结论。持不同意见的评审小组成员应当在评审报告上签署不同意见及理由，否则视为同意评审报告。</w:t>
      </w:r>
    </w:p>
    <w:p w14:paraId="7936D488">
      <w:pPr>
        <w:pStyle w:val="4"/>
        <w:spacing w:line="240" w:lineRule="auto"/>
        <w:ind w:firstLine="137"/>
        <w:rPr>
          <w:rFonts w:hint="eastAsia" w:ascii="仿宋" w:hAnsi="仿宋" w:eastAsia="仿宋" w:cs="仿宋"/>
          <w:color w:val="000000"/>
        </w:rPr>
      </w:pPr>
      <w:bookmarkStart w:id="222" w:name="_Toc19029"/>
      <w:bookmarkStart w:id="223" w:name="_Toc501460687"/>
      <w:r>
        <w:rPr>
          <w:rFonts w:hint="eastAsia" w:ascii="仿宋" w:hAnsi="仿宋" w:eastAsia="仿宋" w:cs="仿宋"/>
          <w:color w:val="000000"/>
        </w:rPr>
        <w:t>6.2评审</w:t>
      </w:r>
      <w:bookmarkEnd w:id="222"/>
      <w:bookmarkEnd w:id="223"/>
    </w:p>
    <w:p w14:paraId="1D0815D3">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6.2.1 评审小组按照第三章“评审办法”规定的评审标准和程序对响应文件进行评审和比较。</w:t>
      </w:r>
    </w:p>
    <w:p w14:paraId="243B8DE2">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6.2.2 评审完成后，评审小组应当向采购人提交书面评审报告和候选成交供应商名单。评审小组推荐候选成交供应商的排序要求及数量见供应商须知前附表。</w:t>
      </w:r>
    </w:p>
    <w:p w14:paraId="00B4C859">
      <w:pPr>
        <w:pStyle w:val="3"/>
        <w:rPr>
          <w:rFonts w:hint="eastAsia" w:ascii="仿宋" w:hAnsi="仿宋" w:eastAsia="仿宋" w:cs="仿宋"/>
          <w:color w:val="000000"/>
        </w:rPr>
      </w:pPr>
      <w:bookmarkStart w:id="224" w:name="_Toc9916"/>
      <w:bookmarkStart w:id="225" w:name="_Toc501460689"/>
      <w:r>
        <w:rPr>
          <w:rFonts w:hint="eastAsia" w:ascii="仿宋" w:hAnsi="仿宋" w:eastAsia="仿宋" w:cs="仿宋"/>
          <w:color w:val="000000"/>
        </w:rPr>
        <w:t>7. 合同授予</w:t>
      </w:r>
      <w:bookmarkEnd w:id="224"/>
      <w:bookmarkEnd w:id="225"/>
    </w:p>
    <w:p w14:paraId="65105979">
      <w:pPr>
        <w:pStyle w:val="4"/>
        <w:spacing w:line="240" w:lineRule="auto"/>
        <w:ind w:firstLine="137"/>
        <w:rPr>
          <w:rFonts w:hint="eastAsia" w:ascii="仿宋" w:hAnsi="仿宋" w:eastAsia="仿宋" w:cs="仿宋"/>
          <w:color w:val="000000"/>
        </w:rPr>
      </w:pPr>
      <w:bookmarkStart w:id="226" w:name="_Toc501460692"/>
      <w:bookmarkStart w:id="227" w:name="_Toc5671"/>
      <w:bookmarkStart w:id="228" w:name="_Toc501460690"/>
      <w:r>
        <w:rPr>
          <w:rFonts w:hint="eastAsia" w:ascii="仿宋" w:hAnsi="仿宋" w:eastAsia="仿宋" w:cs="仿宋"/>
          <w:color w:val="000000"/>
        </w:rPr>
        <w:t>7.1 候选成交供应商履约能力</w:t>
      </w:r>
      <w:bookmarkEnd w:id="226"/>
      <w:r>
        <w:rPr>
          <w:rFonts w:hint="eastAsia" w:ascii="仿宋" w:hAnsi="仿宋" w:eastAsia="仿宋" w:cs="仿宋"/>
          <w:color w:val="000000"/>
        </w:rPr>
        <w:t>核查</w:t>
      </w:r>
      <w:bookmarkEnd w:id="227"/>
    </w:p>
    <w:p w14:paraId="1217721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0D2D435F">
      <w:pPr>
        <w:pStyle w:val="4"/>
        <w:spacing w:line="240" w:lineRule="auto"/>
        <w:ind w:firstLine="137"/>
        <w:rPr>
          <w:rFonts w:hint="eastAsia" w:ascii="仿宋" w:hAnsi="仿宋" w:eastAsia="仿宋" w:cs="仿宋"/>
          <w:color w:val="000000"/>
        </w:rPr>
      </w:pPr>
      <w:bookmarkStart w:id="229" w:name="_Toc12854"/>
      <w:r>
        <w:rPr>
          <w:rFonts w:hint="eastAsia" w:ascii="仿宋" w:hAnsi="仿宋" w:eastAsia="仿宋" w:cs="仿宋"/>
          <w:color w:val="000000"/>
        </w:rPr>
        <w:t>7.2 确定预成交供应商</w:t>
      </w:r>
      <w:bookmarkEnd w:id="229"/>
    </w:p>
    <w:p w14:paraId="769C9FC8">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采购人将根据评审报告及核查结果（如有），对候选成交供应商综合评估后从中选择确定预成交供应商。</w:t>
      </w:r>
    </w:p>
    <w:p w14:paraId="0E6BDA72">
      <w:pPr>
        <w:pStyle w:val="4"/>
        <w:spacing w:line="240" w:lineRule="auto"/>
        <w:ind w:firstLine="137"/>
        <w:rPr>
          <w:rFonts w:hint="eastAsia" w:ascii="仿宋" w:hAnsi="仿宋" w:eastAsia="仿宋" w:cs="仿宋"/>
          <w:color w:val="000000"/>
        </w:rPr>
      </w:pPr>
      <w:bookmarkStart w:id="230" w:name="_Toc30347"/>
      <w:r>
        <w:rPr>
          <w:rFonts w:hint="eastAsia" w:ascii="仿宋" w:hAnsi="仿宋" w:eastAsia="仿宋" w:cs="仿宋"/>
          <w:color w:val="000000"/>
        </w:rPr>
        <w:t>7.3 预成交结果公示</w:t>
      </w:r>
      <w:bookmarkEnd w:id="228"/>
      <w:bookmarkEnd w:id="230"/>
    </w:p>
    <w:p w14:paraId="0F59351C">
      <w:pPr>
        <w:spacing w:line="400" w:lineRule="exact"/>
        <w:ind w:firstLine="480" w:firstLineChars="200"/>
        <w:rPr>
          <w:rFonts w:hint="eastAsia" w:ascii="仿宋" w:hAnsi="仿宋" w:eastAsia="仿宋" w:cs="仿宋"/>
          <w:iCs/>
          <w:color w:val="000000"/>
          <w:sz w:val="24"/>
          <w:szCs w:val="24"/>
        </w:rPr>
      </w:pPr>
      <w:r>
        <w:rPr>
          <w:rFonts w:hint="eastAsia" w:ascii="仿宋" w:hAnsi="仿宋" w:eastAsia="仿宋" w:cs="仿宋"/>
          <w:color w:val="000000"/>
          <w:sz w:val="24"/>
          <w:szCs w:val="24"/>
        </w:rPr>
        <w:t>预成交供应商选定后，</w:t>
      </w:r>
      <w:r>
        <w:rPr>
          <w:rFonts w:hint="eastAsia" w:ascii="仿宋" w:hAnsi="仿宋" w:eastAsia="仿宋" w:cs="仿宋"/>
          <w:iCs/>
          <w:color w:val="000000"/>
          <w:sz w:val="24"/>
          <w:szCs w:val="24"/>
        </w:rPr>
        <w:t>采购人将按照供应商须知前附表规定的</w:t>
      </w:r>
      <w:r>
        <w:rPr>
          <w:rFonts w:hint="eastAsia" w:ascii="仿宋" w:hAnsi="仿宋" w:eastAsia="仿宋" w:cs="仿宋"/>
          <w:color w:val="000000"/>
          <w:sz w:val="24"/>
          <w:szCs w:val="24"/>
        </w:rPr>
        <w:t>公示媒介和公示期限</w:t>
      </w:r>
      <w:r>
        <w:rPr>
          <w:rFonts w:hint="eastAsia" w:ascii="仿宋" w:hAnsi="仿宋" w:eastAsia="仿宋" w:cs="仿宋"/>
          <w:iCs/>
          <w:color w:val="000000"/>
          <w:sz w:val="24"/>
          <w:szCs w:val="24"/>
        </w:rPr>
        <w:t>进行公示，公示信息包括如下内容：</w:t>
      </w:r>
    </w:p>
    <w:p w14:paraId="1945D79F">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iCs/>
          <w:color w:val="000000"/>
          <w:sz w:val="24"/>
          <w:szCs w:val="24"/>
        </w:rPr>
        <w:t>（1）所有</w:t>
      </w:r>
      <w:r>
        <w:rPr>
          <w:rFonts w:hint="eastAsia" w:ascii="仿宋" w:hAnsi="仿宋" w:eastAsia="仿宋" w:cs="仿宋"/>
          <w:color w:val="000000"/>
          <w:sz w:val="24"/>
          <w:szCs w:val="24"/>
        </w:rPr>
        <w:t>候选成交供应商名称、响应价格及工期/交货期/服务期限；</w:t>
      </w:r>
    </w:p>
    <w:p w14:paraId="6F677663">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（2）预成交供应商名称、预成交份额（如有）及选择原因；</w:t>
      </w:r>
    </w:p>
    <w:p w14:paraId="7F0D2CAE">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iCs/>
          <w:color w:val="000000"/>
          <w:sz w:val="24"/>
          <w:szCs w:val="24"/>
        </w:rPr>
        <w:t>供应商须知前附表规定的其他内容。</w:t>
      </w:r>
    </w:p>
    <w:p w14:paraId="61A08CA2">
      <w:pPr>
        <w:pStyle w:val="4"/>
        <w:spacing w:line="240" w:lineRule="auto"/>
        <w:ind w:firstLine="137"/>
        <w:rPr>
          <w:rFonts w:hint="eastAsia" w:ascii="仿宋" w:hAnsi="仿宋" w:eastAsia="仿宋" w:cs="仿宋"/>
          <w:color w:val="000000"/>
        </w:rPr>
      </w:pPr>
      <w:bookmarkStart w:id="231" w:name="_Toc501460694"/>
      <w:bookmarkStart w:id="232" w:name="_Toc6578"/>
      <w:r>
        <w:rPr>
          <w:rFonts w:hint="eastAsia" w:ascii="仿宋" w:hAnsi="仿宋" w:eastAsia="仿宋" w:cs="仿宋"/>
          <w:color w:val="000000"/>
        </w:rPr>
        <w:t>7.4 发出成交通知</w:t>
      </w:r>
      <w:bookmarkEnd w:id="231"/>
      <w:r>
        <w:rPr>
          <w:rFonts w:hint="eastAsia" w:ascii="仿宋" w:hAnsi="仿宋" w:eastAsia="仿宋" w:cs="仿宋"/>
          <w:color w:val="000000"/>
        </w:rPr>
        <w:t>书</w:t>
      </w:r>
      <w:bookmarkEnd w:id="232"/>
    </w:p>
    <w:p w14:paraId="0E1F67E6">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公示期结束后，在本章第3.3款规定的响应文件有效期内，采购人以书面形式向预成交供应商发出</w:t>
      </w:r>
      <w:bookmarkStart w:id="233" w:name="_Toc5668"/>
      <w:bookmarkStart w:id="234" w:name="_Toc361508619"/>
      <w:bookmarkStart w:id="235" w:name="_Toc352691506"/>
      <w:bookmarkStart w:id="236" w:name="_Toc300834983"/>
      <w:bookmarkStart w:id="237" w:name="_Toc384308244"/>
      <w:bookmarkStart w:id="238" w:name="_Toc369531550"/>
      <w:r>
        <w:rPr>
          <w:rFonts w:hint="eastAsia" w:ascii="仿宋" w:hAnsi="仿宋" w:eastAsia="仿宋" w:cs="仿宋"/>
          <w:color w:val="000000"/>
          <w:sz w:val="24"/>
          <w:szCs w:val="24"/>
        </w:rPr>
        <w:t>成交通知书</w:t>
      </w:r>
      <w:bookmarkEnd w:id="233"/>
      <w:bookmarkEnd w:id="234"/>
      <w:bookmarkEnd w:id="235"/>
      <w:bookmarkEnd w:id="236"/>
      <w:bookmarkEnd w:id="237"/>
      <w:bookmarkEnd w:id="238"/>
      <w:r>
        <w:rPr>
          <w:rFonts w:hint="eastAsia" w:ascii="仿宋" w:hAnsi="仿宋" w:eastAsia="仿宋" w:cs="仿宋"/>
          <w:color w:val="000000"/>
          <w:sz w:val="24"/>
          <w:szCs w:val="24"/>
        </w:rPr>
        <w:t>。</w:t>
      </w:r>
    </w:p>
    <w:p w14:paraId="1B77B532">
      <w:pPr>
        <w:pStyle w:val="4"/>
        <w:spacing w:line="240" w:lineRule="auto"/>
        <w:ind w:firstLine="137"/>
        <w:rPr>
          <w:rFonts w:hint="eastAsia" w:ascii="仿宋" w:hAnsi="仿宋" w:eastAsia="仿宋" w:cs="仿宋"/>
          <w:color w:val="000000"/>
        </w:rPr>
      </w:pPr>
      <w:bookmarkStart w:id="239" w:name="_Toc29365"/>
      <w:r>
        <w:rPr>
          <w:rFonts w:hint="eastAsia" w:ascii="仿宋" w:hAnsi="仿宋" w:eastAsia="仿宋" w:cs="仿宋"/>
          <w:color w:val="000000"/>
        </w:rPr>
        <w:t>7.5 发布成交公告</w:t>
      </w:r>
      <w:bookmarkEnd w:id="239"/>
    </w:p>
    <w:p w14:paraId="697D8C21">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在发出成交通知书的同时，采购人将在供应商须知前附表规定的公告媒介发布成交公告，公告信息包括成交供应商名称、响应价格及交货期、成交份额（如有）及供应商须知前附表规定的其他内容。</w:t>
      </w:r>
    </w:p>
    <w:p w14:paraId="19870492">
      <w:pPr>
        <w:pStyle w:val="4"/>
        <w:spacing w:line="240" w:lineRule="auto"/>
        <w:ind w:firstLine="137"/>
        <w:rPr>
          <w:rFonts w:hint="eastAsia" w:ascii="仿宋" w:hAnsi="仿宋" w:eastAsia="仿宋" w:cs="仿宋"/>
          <w:color w:val="000000"/>
        </w:rPr>
      </w:pPr>
      <w:bookmarkStart w:id="240" w:name="_Toc501460695"/>
      <w:bookmarkStart w:id="241" w:name="_Toc10102"/>
      <w:r>
        <w:rPr>
          <w:rFonts w:hint="eastAsia" w:ascii="仿宋" w:hAnsi="仿宋" w:eastAsia="仿宋" w:cs="仿宋"/>
          <w:color w:val="000000"/>
        </w:rPr>
        <w:t>7.6 履约保证金</w:t>
      </w:r>
      <w:bookmarkEnd w:id="240"/>
      <w:bookmarkEnd w:id="241"/>
    </w:p>
    <w:p w14:paraId="5D5EE3E9">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供应商须知前附表规定递交履约保证金的，成交供应商应按</w:t>
      </w:r>
      <w:r>
        <w:rPr>
          <w:rFonts w:hint="eastAsia" w:ascii="仿宋" w:hAnsi="仿宋" w:eastAsia="仿宋" w:cs="仿宋"/>
          <w:iCs/>
          <w:color w:val="000000"/>
          <w:sz w:val="24"/>
          <w:szCs w:val="24"/>
        </w:rPr>
        <w:t>供应商须知前附表</w:t>
      </w:r>
      <w:r>
        <w:rPr>
          <w:rFonts w:hint="eastAsia" w:ascii="仿宋" w:hAnsi="仿宋" w:eastAsia="仿宋" w:cs="仿宋"/>
          <w:color w:val="000000"/>
          <w:sz w:val="24"/>
          <w:szCs w:val="24"/>
        </w:rPr>
        <w:t>规定的形式、有效期限和递交时间向采购人递交履约保证金。除</w:t>
      </w:r>
      <w:r>
        <w:rPr>
          <w:rFonts w:hint="eastAsia" w:ascii="仿宋" w:hAnsi="仿宋" w:eastAsia="仿宋" w:cs="仿宋"/>
          <w:iCs/>
          <w:color w:val="000000"/>
          <w:sz w:val="24"/>
          <w:szCs w:val="24"/>
        </w:rPr>
        <w:t>供应商须知前附表</w:t>
      </w:r>
      <w:r>
        <w:rPr>
          <w:rFonts w:hint="eastAsia" w:ascii="仿宋" w:hAnsi="仿宋" w:eastAsia="仿宋" w:cs="仿宋"/>
          <w:color w:val="000000"/>
          <w:sz w:val="24"/>
          <w:szCs w:val="24"/>
        </w:rPr>
        <w:t>另有规定外，履约保证金为采购合同金额的5%。</w:t>
      </w:r>
    </w:p>
    <w:p w14:paraId="60FD138A">
      <w:pPr>
        <w:pStyle w:val="4"/>
        <w:spacing w:line="240" w:lineRule="auto"/>
        <w:ind w:firstLine="137"/>
        <w:rPr>
          <w:rFonts w:hint="eastAsia" w:ascii="仿宋" w:hAnsi="仿宋" w:eastAsia="仿宋" w:cs="仿宋"/>
          <w:color w:val="000000"/>
        </w:rPr>
      </w:pPr>
      <w:bookmarkStart w:id="242" w:name="_Toc501460696"/>
      <w:bookmarkStart w:id="243" w:name="_Toc29771"/>
      <w:r>
        <w:rPr>
          <w:rFonts w:hint="eastAsia" w:ascii="仿宋" w:hAnsi="仿宋" w:eastAsia="仿宋" w:cs="仿宋"/>
          <w:color w:val="000000"/>
        </w:rPr>
        <w:t>7.7 签订合同</w:t>
      </w:r>
      <w:bookmarkEnd w:id="242"/>
      <w:bookmarkEnd w:id="243"/>
    </w:p>
    <w:p w14:paraId="6FDCA7AF">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7.7.1 采购人和成交供应商应当在成交通知书规定的期限内，根据采购文件和成交供应商的响应文件订立书面合同。成交供应商</w:t>
      </w:r>
      <w:r>
        <w:rPr>
          <w:rFonts w:hint="eastAsia" w:ascii="仿宋" w:hAnsi="仿宋" w:eastAsia="仿宋" w:cs="仿宋"/>
          <w:sz w:val="24"/>
          <w:szCs w:val="24"/>
        </w:rPr>
        <w:t>无正当理由拒绝签订合同，在签订合同时向采购人提出附加条件，或者不按照采购文件要求递交履约保证金的</w:t>
      </w:r>
      <w:r>
        <w:rPr>
          <w:rFonts w:hint="eastAsia" w:ascii="仿宋" w:hAnsi="仿宋" w:eastAsia="仿宋" w:cs="仿宋"/>
          <w:color w:val="000000"/>
          <w:sz w:val="24"/>
          <w:szCs w:val="24"/>
        </w:rPr>
        <w:t>，采购人取消其成交资格，其响应保证金不予退还；给采购人造成的损失超过响应保证金数额的，成交供应商还应当对超过部分予以赔偿。</w:t>
      </w:r>
    </w:p>
    <w:p w14:paraId="1DB604A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7.7.2 发出成交通知书后，采购人无正当理由拒绝签订合同，或者</w:t>
      </w:r>
      <w:r>
        <w:rPr>
          <w:rFonts w:hint="eastAsia" w:ascii="仿宋" w:hAnsi="仿宋" w:eastAsia="仿宋" w:cs="仿宋"/>
          <w:sz w:val="24"/>
          <w:szCs w:val="24"/>
        </w:rPr>
        <w:t>在签订合同时向成交供应商</w:t>
      </w:r>
      <w:r>
        <w:rPr>
          <w:rFonts w:hint="eastAsia" w:ascii="仿宋" w:hAnsi="仿宋" w:eastAsia="仿宋" w:cs="仿宋"/>
          <w:color w:val="000000"/>
          <w:sz w:val="24"/>
          <w:szCs w:val="24"/>
        </w:rPr>
        <w:t>提出附加条件的，采购人向成交供应商退还响应保证金；给成交供应商造成损失的，还应当赔偿损失。</w:t>
      </w:r>
    </w:p>
    <w:p w14:paraId="5C84416C">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7.7.3 联合体成交的，联合体各方应当共同与采购人签订合同，就成交项目向采购人承担连带责任。</w:t>
      </w:r>
    </w:p>
    <w:p w14:paraId="413290A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7.7.4 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7D509FFF">
      <w:pPr>
        <w:pStyle w:val="4"/>
        <w:spacing w:line="240" w:lineRule="auto"/>
        <w:ind w:firstLine="137"/>
        <w:rPr>
          <w:rFonts w:hint="eastAsia" w:ascii="仿宋" w:hAnsi="仿宋" w:eastAsia="仿宋" w:cs="仿宋"/>
          <w:b/>
          <w:color w:val="000000"/>
        </w:rPr>
      </w:pPr>
      <w:bookmarkStart w:id="244" w:name="_Toc3379"/>
      <w:r>
        <w:rPr>
          <w:rFonts w:hint="eastAsia" w:ascii="仿宋" w:hAnsi="仿宋" w:eastAsia="仿宋" w:cs="仿宋"/>
          <w:color w:val="000000"/>
        </w:rPr>
        <w:t>7.8 特殊情形处理</w:t>
      </w:r>
      <w:bookmarkEnd w:id="244"/>
    </w:p>
    <w:p w14:paraId="2976BF97">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303BF132">
      <w:pPr>
        <w:pStyle w:val="3"/>
        <w:rPr>
          <w:rFonts w:hint="eastAsia" w:ascii="仿宋" w:hAnsi="仿宋" w:eastAsia="仿宋" w:cs="仿宋"/>
          <w:color w:val="000000"/>
        </w:rPr>
      </w:pPr>
      <w:bookmarkStart w:id="245" w:name="_Toc16950"/>
      <w:r>
        <w:rPr>
          <w:rFonts w:hint="eastAsia" w:ascii="仿宋" w:hAnsi="仿宋" w:eastAsia="仿宋" w:cs="仿宋"/>
          <w:color w:val="000000"/>
        </w:rPr>
        <w:t>8. 异议</w:t>
      </w:r>
      <w:bookmarkEnd w:id="245"/>
    </w:p>
    <w:p w14:paraId="55B2CA96">
      <w:pPr>
        <w:pStyle w:val="4"/>
        <w:spacing w:line="240" w:lineRule="auto"/>
        <w:ind w:firstLine="137"/>
        <w:rPr>
          <w:rFonts w:hint="eastAsia" w:ascii="仿宋" w:hAnsi="仿宋" w:eastAsia="仿宋" w:cs="仿宋"/>
          <w:color w:val="000000"/>
        </w:rPr>
      </w:pPr>
      <w:bookmarkStart w:id="246" w:name="_Toc27178"/>
      <w:r>
        <w:rPr>
          <w:rFonts w:hint="eastAsia" w:ascii="仿宋" w:hAnsi="仿宋" w:eastAsia="仿宋" w:cs="仿宋"/>
          <w:color w:val="000000"/>
        </w:rPr>
        <w:t>8.1 提出异议</w:t>
      </w:r>
      <w:bookmarkEnd w:id="246"/>
    </w:p>
    <w:p w14:paraId="45E47869">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供应商或者其他利害关系人可以对预成交结果提出异议。异议应在预成交结果公示期间通过供应商须知前附表规定的异议渠道提出，并递交异议函和必要的证明材料。异议函包括但不限于下列内容：</w:t>
      </w:r>
    </w:p>
    <w:p w14:paraId="13763BD2">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（1）异议人名称、地址、邮政编码、联系人及联系电话；</w:t>
      </w:r>
    </w:p>
    <w:p w14:paraId="4D31B8FA">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（2）具体、明确的异议事项、事实依据及与异议事项相关的请求。</w:t>
      </w:r>
    </w:p>
    <w:p w14:paraId="6085E2D2">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异议函应由异议人的法定代表人（单位负责人）或者其授权代表签字并加盖单位章。</w:t>
      </w:r>
    </w:p>
    <w:p w14:paraId="7D1B0E70">
      <w:pPr>
        <w:pStyle w:val="4"/>
        <w:spacing w:line="240" w:lineRule="auto"/>
        <w:ind w:firstLine="137"/>
        <w:rPr>
          <w:rFonts w:hint="eastAsia" w:ascii="仿宋" w:hAnsi="仿宋" w:eastAsia="仿宋" w:cs="仿宋"/>
          <w:color w:val="000000"/>
        </w:rPr>
      </w:pPr>
      <w:bookmarkStart w:id="247" w:name="_Toc2761"/>
      <w:r>
        <w:rPr>
          <w:rFonts w:hint="eastAsia" w:ascii="仿宋" w:hAnsi="仿宋" w:eastAsia="仿宋" w:cs="仿宋"/>
          <w:color w:val="000000"/>
        </w:rPr>
        <w:t>8.2 异议处理</w:t>
      </w:r>
      <w:bookmarkEnd w:id="247"/>
    </w:p>
    <w:p w14:paraId="2BB31642">
      <w:pPr>
        <w:spacing w:line="400" w:lineRule="exact"/>
        <w:ind w:firstLine="480" w:firstLineChars="200"/>
        <w:rPr>
          <w:rFonts w:hint="eastAsia" w:ascii="仿宋" w:hAnsi="仿宋" w:eastAsia="仿宋" w:cs="仿宋"/>
          <w:color w:val="000000"/>
          <w:sz w:val="24"/>
          <w:szCs w:val="24"/>
        </w:rPr>
      </w:pPr>
      <w:bookmarkStart w:id="248" w:name="_Toc361508627"/>
      <w:bookmarkStart w:id="249" w:name="_Toc384308252"/>
      <w:bookmarkStart w:id="250" w:name="_Toc24067"/>
      <w:bookmarkStart w:id="251" w:name="_Toc501460697"/>
      <w:bookmarkStart w:id="252" w:name="_Toc247527593"/>
      <w:bookmarkStart w:id="253" w:name="_Toc247513992"/>
      <w:bookmarkStart w:id="254" w:name="_Toc144974536"/>
      <w:bookmarkStart w:id="255" w:name="_Toc152042344"/>
      <w:bookmarkStart w:id="256" w:name="_Toc300834991"/>
      <w:bookmarkStart w:id="257" w:name="_Toc152045568"/>
      <w:r>
        <w:rPr>
          <w:rFonts w:hint="eastAsia" w:ascii="仿宋" w:hAnsi="仿宋" w:eastAsia="仿宋" w:cs="仿宋"/>
          <w:color w:val="000000"/>
          <w:sz w:val="24"/>
          <w:szCs w:val="24"/>
        </w:rPr>
        <w:t>采购人将针对异议提出的问题进行核查，经过核查，发现异议提出人对相关问题理解有误的，应作出解释；发现采购活动中确实存在错误或不当行为的，应及时予以改正或补救。</w:t>
      </w:r>
    </w:p>
    <w:p w14:paraId="30A31BC9">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异议人与采购人对异议事项无法达成一致的，异议人可向供应商须知前附表规定的行业组织或专业咨询机构申请调解或进行反映。</w:t>
      </w:r>
    </w:p>
    <w:p w14:paraId="5BF06D6B">
      <w:pPr>
        <w:spacing w:line="400" w:lineRule="exact"/>
        <w:ind w:firstLine="480" w:firstLineChars="200"/>
        <w:rPr>
          <w:rFonts w:hint="eastAsia" w:ascii="仿宋" w:hAnsi="仿宋" w:eastAsia="仿宋" w:cs="仿宋"/>
          <w:color w:val="000000"/>
        </w:rPr>
      </w:pPr>
      <w:r>
        <w:rPr>
          <w:rFonts w:hint="eastAsia" w:ascii="仿宋" w:hAnsi="仿宋" w:eastAsia="仿宋" w:cs="仿宋"/>
          <w:color w:val="000000"/>
          <w:sz w:val="24"/>
          <w:szCs w:val="24"/>
        </w:rPr>
        <w:t>采购人认为异议不成立或不影响采购结果的，可以继续进行采购活动。</w:t>
      </w:r>
    </w:p>
    <w:p w14:paraId="312D261A">
      <w:pPr>
        <w:pStyle w:val="3"/>
        <w:rPr>
          <w:rFonts w:hint="eastAsia" w:ascii="仿宋" w:hAnsi="仿宋" w:eastAsia="仿宋" w:cs="仿宋"/>
          <w:color w:val="000000"/>
        </w:rPr>
      </w:pPr>
      <w:bookmarkStart w:id="258" w:name="_Toc22316"/>
      <w:r>
        <w:rPr>
          <w:rFonts w:hint="eastAsia" w:ascii="仿宋" w:hAnsi="仿宋" w:eastAsia="仿宋" w:cs="仿宋"/>
          <w:color w:val="000000"/>
        </w:rPr>
        <w:t>9.</w:t>
      </w:r>
      <w:bookmarkEnd w:id="248"/>
      <w:bookmarkEnd w:id="249"/>
      <w:bookmarkEnd w:id="250"/>
      <w:r>
        <w:rPr>
          <w:rFonts w:hint="eastAsia" w:ascii="仿宋" w:hAnsi="仿宋" w:eastAsia="仿宋" w:cs="仿宋"/>
          <w:color w:val="000000"/>
        </w:rPr>
        <w:t xml:space="preserve"> 纪律</w:t>
      </w:r>
      <w:bookmarkEnd w:id="251"/>
      <w:r>
        <w:rPr>
          <w:rFonts w:hint="eastAsia" w:ascii="仿宋" w:hAnsi="仿宋" w:eastAsia="仿宋" w:cs="仿宋"/>
          <w:color w:val="000000"/>
        </w:rPr>
        <w:t>要求</w:t>
      </w:r>
      <w:bookmarkEnd w:id="258"/>
    </w:p>
    <w:p w14:paraId="62245360">
      <w:pPr>
        <w:pStyle w:val="4"/>
        <w:spacing w:line="240" w:lineRule="auto"/>
        <w:ind w:firstLine="137"/>
        <w:rPr>
          <w:rFonts w:hint="eastAsia" w:ascii="仿宋" w:hAnsi="仿宋" w:eastAsia="仿宋" w:cs="仿宋"/>
          <w:color w:val="000000"/>
        </w:rPr>
      </w:pPr>
      <w:bookmarkStart w:id="259" w:name="_Toc501460698"/>
      <w:bookmarkStart w:id="260" w:name="_Toc16429"/>
      <w:r>
        <w:rPr>
          <w:rFonts w:hint="eastAsia" w:ascii="仿宋" w:hAnsi="仿宋" w:eastAsia="仿宋" w:cs="仿宋"/>
          <w:color w:val="000000"/>
        </w:rPr>
        <w:t>9.1 对采购人的纪律要求</w:t>
      </w:r>
      <w:bookmarkEnd w:id="259"/>
      <w:bookmarkEnd w:id="260"/>
    </w:p>
    <w:p w14:paraId="77C1B573">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采购人不得泄露询比采购活动中应当保密的情况和资料，不得与供应商串通损害国家利益、社会公共利益或者他人合法权益。</w:t>
      </w:r>
    </w:p>
    <w:p w14:paraId="76785430">
      <w:pPr>
        <w:pStyle w:val="4"/>
        <w:spacing w:line="240" w:lineRule="auto"/>
        <w:ind w:firstLine="137"/>
        <w:rPr>
          <w:rFonts w:hint="eastAsia" w:ascii="仿宋" w:hAnsi="仿宋" w:eastAsia="仿宋" w:cs="仿宋"/>
          <w:color w:val="000000"/>
        </w:rPr>
      </w:pPr>
      <w:bookmarkStart w:id="261" w:name="_Toc20440"/>
      <w:bookmarkStart w:id="262" w:name="_Toc501460699"/>
      <w:r>
        <w:rPr>
          <w:rFonts w:hint="eastAsia" w:ascii="仿宋" w:hAnsi="仿宋" w:eastAsia="仿宋" w:cs="仿宋"/>
          <w:color w:val="000000"/>
        </w:rPr>
        <w:t>9.2 对供应商的纪律要求</w:t>
      </w:r>
      <w:bookmarkEnd w:id="261"/>
      <w:bookmarkEnd w:id="262"/>
    </w:p>
    <w:p w14:paraId="15F2018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22A3F5A8">
      <w:pPr>
        <w:pStyle w:val="4"/>
        <w:spacing w:line="240" w:lineRule="auto"/>
        <w:ind w:firstLine="137"/>
        <w:rPr>
          <w:rFonts w:hint="eastAsia" w:ascii="仿宋" w:hAnsi="仿宋" w:eastAsia="仿宋" w:cs="仿宋"/>
          <w:color w:val="000000"/>
        </w:rPr>
      </w:pPr>
      <w:bookmarkStart w:id="263" w:name="_Toc501460700"/>
      <w:bookmarkStart w:id="264" w:name="_Toc24895"/>
      <w:r>
        <w:rPr>
          <w:rFonts w:hint="eastAsia" w:ascii="仿宋" w:hAnsi="仿宋" w:eastAsia="仿宋" w:cs="仿宋"/>
          <w:color w:val="000000"/>
        </w:rPr>
        <w:t>9.3 对评审小组成员的纪律要求</w:t>
      </w:r>
      <w:bookmarkEnd w:id="263"/>
      <w:bookmarkEnd w:id="264"/>
    </w:p>
    <w:p w14:paraId="19D8D8C0">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评审小组成员不得收受他人的财物或者其他好处，不得向他人透露对响应文件的评审</w:t>
      </w:r>
      <w:bookmarkStart w:id="265" w:name="_Toc369531559"/>
      <w:bookmarkStart w:id="266" w:name="_Toc352691515"/>
      <w:bookmarkStart w:id="267" w:name="_Toc361508628"/>
      <w:bookmarkStart w:id="268" w:name="_Toc384308253"/>
      <w:bookmarkStart w:id="269" w:name="_Toc13644"/>
      <w:r>
        <w:rPr>
          <w:rFonts w:hint="eastAsia" w:ascii="仿宋" w:hAnsi="仿宋" w:eastAsia="仿宋" w:cs="仿宋"/>
          <w:color w:val="000000"/>
          <w:sz w:val="24"/>
          <w:szCs w:val="24"/>
        </w:rPr>
        <w:t>和比较、</w:t>
      </w:r>
      <w:bookmarkEnd w:id="252"/>
      <w:bookmarkEnd w:id="253"/>
      <w:bookmarkEnd w:id="254"/>
      <w:bookmarkEnd w:id="255"/>
      <w:bookmarkEnd w:id="256"/>
      <w:bookmarkEnd w:id="257"/>
      <w:bookmarkEnd w:id="265"/>
      <w:bookmarkEnd w:id="266"/>
      <w:bookmarkEnd w:id="267"/>
      <w:bookmarkEnd w:id="268"/>
      <w:bookmarkEnd w:id="269"/>
      <w:r>
        <w:rPr>
          <w:rFonts w:hint="eastAsia" w:ascii="仿宋" w:hAnsi="仿宋" w:eastAsia="仿宋" w:cs="仿宋"/>
          <w:color w:val="000000"/>
          <w:sz w:val="24"/>
          <w:szCs w:val="24"/>
        </w:rPr>
        <w:t>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AEF9E2">
      <w:pPr>
        <w:pStyle w:val="4"/>
        <w:spacing w:line="240" w:lineRule="auto"/>
        <w:ind w:firstLine="137"/>
        <w:rPr>
          <w:rFonts w:hint="eastAsia" w:ascii="仿宋" w:hAnsi="仿宋" w:eastAsia="仿宋" w:cs="仿宋"/>
          <w:color w:val="000000"/>
        </w:rPr>
      </w:pPr>
      <w:bookmarkStart w:id="270" w:name="_Toc19076"/>
      <w:bookmarkStart w:id="271" w:name="_Toc501460701"/>
      <w:r>
        <w:rPr>
          <w:rFonts w:hint="eastAsia" w:ascii="仿宋" w:hAnsi="仿宋" w:eastAsia="仿宋" w:cs="仿宋"/>
          <w:color w:val="000000"/>
        </w:rPr>
        <w:t>9.4 对与询比活动有关的工作人员的纪律要求</w:t>
      </w:r>
      <w:bookmarkEnd w:id="270"/>
      <w:bookmarkEnd w:id="271"/>
    </w:p>
    <w:p w14:paraId="56B639B4">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与询比活动有关的工作人员不得收受他人的财物或者其他好处，不得向他人透露对</w:t>
      </w:r>
      <w:bookmarkStart w:id="272" w:name="_Toc247513993"/>
      <w:bookmarkStart w:id="273" w:name="_Toc369531560"/>
      <w:bookmarkStart w:id="274" w:name="_Toc247527594"/>
      <w:bookmarkStart w:id="275" w:name="_Toc352691516"/>
      <w:bookmarkStart w:id="276" w:name="_Toc152045569"/>
      <w:bookmarkStart w:id="277" w:name="_Toc144974537"/>
      <w:bookmarkStart w:id="278" w:name="_Toc152042345"/>
      <w:bookmarkStart w:id="279" w:name="_Toc384308254"/>
      <w:bookmarkStart w:id="280" w:name="_Toc300834992"/>
      <w:bookmarkStart w:id="281" w:name="_Toc19429"/>
      <w:bookmarkStart w:id="282" w:name="_Toc361508629"/>
      <w:r>
        <w:rPr>
          <w:rFonts w:hint="eastAsia" w:ascii="仿宋" w:hAnsi="仿宋" w:eastAsia="仿宋" w:cs="仿宋"/>
          <w:color w:val="000000"/>
          <w:sz w:val="24"/>
          <w:szCs w:val="24"/>
        </w:rPr>
        <w:t>响应文件的评审和比较、</w:t>
      </w:r>
      <w:bookmarkEnd w:id="272"/>
      <w:bookmarkEnd w:id="273"/>
      <w:bookmarkEnd w:id="274"/>
      <w:bookmarkEnd w:id="275"/>
      <w:bookmarkEnd w:id="276"/>
      <w:bookmarkEnd w:id="277"/>
      <w:bookmarkEnd w:id="278"/>
      <w:bookmarkEnd w:id="279"/>
      <w:bookmarkEnd w:id="280"/>
      <w:bookmarkEnd w:id="281"/>
      <w:bookmarkEnd w:id="282"/>
      <w:r>
        <w:rPr>
          <w:rFonts w:hint="eastAsia" w:ascii="仿宋" w:hAnsi="仿宋" w:eastAsia="仿宋" w:cs="仿宋"/>
          <w:color w:val="000000"/>
          <w:sz w:val="24"/>
          <w:szCs w:val="24"/>
        </w:rPr>
        <w:t>候选成交供应商的推荐情况以及询比有关的其他情况。在询比活动中，与询比活动有关的工作人员不得擅离职守，影响评审工作正常进行。</w:t>
      </w:r>
    </w:p>
    <w:p w14:paraId="53CF3972">
      <w:pPr>
        <w:pStyle w:val="3"/>
        <w:spacing w:line="240" w:lineRule="auto"/>
        <w:rPr>
          <w:rFonts w:hint="eastAsia" w:ascii="仿宋" w:hAnsi="仿宋" w:eastAsia="仿宋" w:cs="仿宋"/>
        </w:rPr>
      </w:pPr>
      <w:bookmarkStart w:id="283" w:name="_Toc501460704"/>
      <w:bookmarkStart w:id="284" w:name="_Toc23098"/>
      <w:r>
        <w:rPr>
          <w:rFonts w:hint="eastAsia" w:ascii="仿宋" w:hAnsi="仿宋" w:eastAsia="仿宋" w:cs="仿宋"/>
        </w:rPr>
        <w:t xml:space="preserve">10. </w:t>
      </w:r>
      <w:bookmarkEnd w:id="283"/>
      <w:r>
        <w:rPr>
          <w:rFonts w:hint="eastAsia" w:ascii="仿宋" w:hAnsi="仿宋" w:eastAsia="仿宋" w:cs="仿宋"/>
        </w:rPr>
        <w:t>需要补充的其他内容</w:t>
      </w:r>
      <w:bookmarkEnd w:id="284"/>
    </w:p>
    <w:p w14:paraId="1203C231">
      <w:pPr>
        <w:pStyle w:val="4"/>
        <w:spacing w:line="240" w:lineRule="auto"/>
        <w:ind w:firstLine="137"/>
        <w:rPr>
          <w:rFonts w:hint="eastAsia" w:ascii="仿宋" w:hAnsi="仿宋" w:eastAsia="仿宋" w:cs="仿宋"/>
          <w:color w:val="000000"/>
        </w:rPr>
      </w:pPr>
      <w:bookmarkStart w:id="285" w:name="_Toc7346"/>
      <w:r>
        <w:rPr>
          <w:rFonts w:hint="eastAsia" w:ascii="仿宋" w:hAnsi="仿宋" w:eastAsia="仿宋" w:cs="仿宋"/>
          <w:color w:val="000000"/>
        </w:rPr>
        <w:t>10.1 采购代理服务费</w:t>
      </w:r>
      <w:bookmarkEnd w:id="285"/>
    </w:p>
    <w:p w14:paraId="371F42B6">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iCs/>
          <w:color w:val="000000"/>
          <w:sz w:val="24"/>
          <w:szCs w:val="24"/>
        </w:rPr>
        <w:t>供应商须知前附表</w:t>
      </w:r>
      <w:r>
        <w:rPr>
          <w:rFonts w:hint="eastAsia" w:ascii="仿宋" w:hAnsi="仿宋" w:eastAsia="仿宋" w:cs="仿宋"/>
          <w:color w:val="000000"/>
          <w:sz w:val="24"/>
          <w:szCs w:val="24"/>
        </w:rPr>
        <w:t>规定由供应商承担采购代理服务费的，供应商应按照</w:t>
      </w:r>
      <w:r>
        <w:rPr>
          <w:rFonts w:hint="eastAsia" w:ascii="仿宋" w:hAnsi="仿宋" w:eastAsia="仿宋" w:cs="仿宋"/>
          <w:iCs/>
          <w:color w:val="000000"/>
          <w:sz w:val="24"/>
          <w:szCs w:val="24"/>
        </w:rPr>
        <w:t>供应商须知前附表</w:t>
      </w:r>
      <w:r>
        <w:rPr>
          <w:rFonts w:hint="eastAsia" w:ascii="仿宋" w:hAnsi="仿宋" w:eastAsia="仿宋" w:cs="仿宋"/>
          <w:color w:val="000000"/>
          <w:sz w:val="24"/>
          <w:szCs w:val="24"/>
        </w:rPr>
        <w:t>规定的费用标准或金额、交费时间和方式向采购代理机构支付代理服务费。</w:t>
      </w:r>
    </w:p>
    <w:p w14:paraId="1D3856C4">
      <w:pPr>
        <w:pStyle w:val="4"/>
        <w:spacing w:line="240" w:lineRule="auto"/>
        <w:ind w:firstLine="137"/>
        <w:rPr>
          <w:rFonts w:hint="eastAsia" w:ascii="仿宋" w:hAnsi="仿宋" w:eastAsia="仿宋" w:cs="仿宋"/>
          <w:color w:val="000000"/>
        </w:rPr>
      </w:pPr>
      <w:bookmarkStart w:id="286" w:name="_Toc17388"/>
      <w:r>
        <w:rPr>
          <w:rFonts w:hint="eastAsia" w:ascii="仿宋" w:hAnsi="仿宋" w:eastAsia="仿宋" w:cs="仿宋"/>
          <w:color w:val="000000"/>
        </w:rPr>
        <w:t>10.2 其他</w:t>
      </w:r>
      <w:bookmarkEnd w:id="286"/>
    </w:p>
    <w:p w14:paraId="0CBE0296">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需要补充的其他内容：见</w:t>
      </w:r>
      <w:r>
        <w:rPr>
          <w:rFonts w:hint="eastAsia" w:ascii="仿宋" w:hAnsi="仿宋" w:eastAsia="仿宋" w:cs="仿宋"/>
          <w:iCs/>
          <w:color w:val="000000"/>
          <w:sz w:val="24"/>
          <w:szCs w:val="24"/>
        </w:rPr>
        <w:t>供应商须知前附表</w:t>
      </w:r>
      <w:r>
        <w:rPr>
          <w:rFonts w:hint="eastAsia" w:ascii="仿宋" w:hAnsi="仿宋" w:eastAsia="仿宋" w:cs="仿宋"/>
          <w:color w:val="000000"/>
          <w:sz w:val="24"/>
          <w:szCs w:val="24"/>
        </w:rPr>
        <w:t>。</w:t>
      </w:r>
      <w:r>
        <w:rPr>
          <w:rFonts w:hint="eastAsia" w:ascii="仿宋" w:hAnsi="仿宋" w:eastAsia="仿宋" w:cs="仿宋"/>
          <w:color w:val="000000"/>
          <w:sz w:val="24"/>
          <w:szCs w:val="24"/>
        </w:rPr>
        <w:br w:type="page"/>
      </w:r>
      <w:bookmarkStart w:id="287" w:name="_Toc501460711"/>
    </w:p>
    <w:bookmarkEnd w:id="287"/>
    <w:p w14:paraId="084B5ECC">
      <w:pPr>
        <w:pStyle w:val="2"/>
        <w:bidi w:val="0"/>
        <w:jc w:val="center"/>
        <w:rPr>
          <w:rFonts w:hint="eastAsia" w:ascii="仿宋" w:hAnsi="仿宋" w:eastAsia="仿宋" w:cs="仿宋"/>
          <w:color w:val="000000"/>
        </w:rPr>
      </w:pPr>
      <w:bookmarkStart w:id="288" w:name="_Toc19317"/>
      <w:bookmarkStart w:id="289" w:name="_Toc13259"/>
      <w:bookmarkStart w:id="290" w:name="_Toc7078"/>
      <w:bookmarkStart w:id="291" w:name="_Toc501460733"/>
      <w:r>
        <w:rPr>
          <w:rFonts w:hint="eastAsia" w:ascii="仿宋" w:hAnsi="仿宋" w:eastAsia="仿宋" w:cs="仿宋"/>
        </w:rPr>
        <w:t>第三章  评审办法</w:t>
      </w:r>
      <w:r>
        <w:rPr>
          <w:rFonts w:hint="eastAsia" w:ascii="仿宋" w:hAnsi="仿宋" w:eastAsia="仿宋" w:cs="仿宋"/>
          <w:lang w:val="en-US" w:eastAsia="zh-CN"/>
        </w:rPr>
        <w:t>（综合评分法）</w:t>
      </w:r>
      <w:bookmarkEnd w:id="288"/>
      <w:bookmarkEnd w:id="289"/>
      <w:bookmarkEnd w:id="290"/>
    </w:p>
    <w:p w14:paraId="2B4D321D">
      <w:pPr>
        <w:pStyle w:val="3"/>
        <w:spacing w:line="240" w:lineRule="auto"/>
        <w:jc w:val="center"/>
        <w:rPr>
          <w:rFonts w:hint="eastAsia" w:ascii="仿宋" w:hAnsi="仿宋" w:eastAsia="仿宋" w:cs="仿宋"/>
          <w:color w:val="000000"/>
        </w:rPr>
      </w:pPr>
      <w:bookmarkStart w:id="292" w:name="_Toc9055"/>
      <w:r>
        <w:rPr>
          <w:rFonts w:hint="eastAsia" w:ascii="仿宋" w:hAnsi="仿宋" w:eastAsia="仿宋" w:cs="仿宋"/>
          <w:color w:val="000000"/>
        </w:rPr>
        <w:t>评审办法前附表</w:t>
      </w:r>
      <w:bookmarkEnd w:id="292"/>
    </w:p>
    <w:tbl>
      <w:tblPr>
        <w:tblStyle w:val="31"/>
        <w:tblW w:w="8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085"/>
        <w:gridCol w:w="2317"/>
        <w:gridCol w:w="4536"/>
      </w:tblGrid>
      <w:tr w14:paraId="30005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94" w:type="dxa"/>
            <w:gridSpan w:val="2"/>
            <w:tcBorders>
              <w:top w:val="single" w:color="auto" w:sz="4" w:space="0"/>
              <w:bottom w:val="single" w:color="auto" w:sz="4" w:space="0"/>
              <w:right w:val="single" w:color="auto" w:sz="4" w:space="0"/>
            </w:tcBorders>
            <w:vAlign w:val="center"/>
          </w:tcPr>
          <w:p w14:paraId="3C031AAF">
            <w:pPr>
              <w:adjustRightInd w:val="0"/>
              <w:snapToGrid w:val="0"/>
              <w:jc w:val="center"/>
              <w:rPr>
                <w:rFonts w:hint="eastAsia" w:ascii="仿宋" w:hAnsi="仿宋" w:eastAsia="仿宋" w:cs="仿宋"/>
                <w:b/>
                <w:sz w:val="24"/>
                <w:szCs w:val="24"/>
              </w:rPr>
            </w:pPr>
            <w:r>
              <w:rPr>
                <w:rFonts w:hint="eastAsia" w:ascii="仿宋" w:hAnsi="仿宋" w:eastAsia="仿宋" w:cs="仿宋"/>
                <w:sz w:val="24"/>
                <w:szCs w:val="24"/>
              </w:rPr>
              <w:br w:type="page"/>
            </w:r>
            <w:r>
              <w:rPr>
                <w:rFonts w:hint="eastAsia" w:ascii="仿宋" w:hAnsi="仿宋" w:eastAsia="仿宋" w:cs="仿宋"/>
                <w:b/>
                <w:sz w:val="24"/>
                <w:szCs w:val="24"/>
              </w:rPr>
              <w:t>条款号及名称</w:t>
            </w:r>
          </w:p>
        </w:tc>
        <w:tc>
          <w:tcPr>
            <w:tcW w:w="2317" w:type="dxa"/>
            <w:tcBorders>
              <w:top w:val="single" w:color="auto" w:sz="4" w:space="0"/>
              <w:left w:val="single" w:color="auto" w:sz="4" w:space="0"/>
              <w:bottom w:val="single" w:color="auto" w:sz="4" w:space="0"/>
              <w:right w:val="single" w:color="auto" w:sz="4" w:space="0"/>
            </w:tcBorders>
            <w:vAlign w:val="center"/>
          </w:tcPr>
          <w:p w14:paraId="279A5B99">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评审因素</w:t>
            </w:r>
          </w:p>
        </w:tc>
        <w:tc>
          <w:tcPr>
            <w:tcW w:w="4536" w:type="dxa"/>
            <w:tcBorders>
              <w:top w:val="single" w:color="auto" w:sz="4" w:space="0"/>
              <w:left w:val="single" w:color="auto" w:sz="4" w:space="0"/>
              <w:bottom w:val="single" w:color="auto" w:sz="4" w:space="0"/>
              <w:right w:val="single" w:color="auto" w:sz="4" w:space="0"/>
            </w:tcBorders>
            <w:vAlign w:val="center"/>
          </w:tcPr>
          <w:p w14:paraId="5B431BD2">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评审标准</w:t>
            </w:r>
          </w:p>
        </w:tc>
      </w:tr>
      <w:tr w14:paraId="41EA1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F2F648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085" w:type="dxa"/>
            <w:tcBorders>
              <w:top w:val="single" w:color="auto" w:sz="4" w:space="0"/>
              <w:left w:val="single" w:color="auto" w:sz="4" w:space="0"/>
              <w:bottom w:val="single" w:color="auto" w:sz="4" w:space="0"/>
              <w:right w:val="single" w:color="auto" w:sz="4" w:space="0"/>
            </w:tcBorders>
            <w:vAlign w:val="center"/>
          </w:tcPr>
          <w:p w14:paraId="37962B9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评审方法</w:t>
            </w:r>
          </w:p>
        </w:tc>
        <w:tc>
          <w:tcPr>
            <w:tcW w:w="2317" w:type="dxa"/>
            <w:tcBorders>
              <w:top w:val="single" w:color="auto" w:sz="4" w:space="0"/>
              <w:left w:val="single" w:color="auto" w:sz="4" w:space="0"/>
              <w:bottom w:val="single" w:color="auto" w:sz="4" w:space="0"/>
              <w:right w:val="single" w:color="auto" w:sz="4" w:space="0"/>
            </w:tcBorders>
            <w:vAlign w:val="center"/>
          </w:tcPr>
          <w:p w14:paraId="3813236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评审方法</w:t>
            </w:r>
          </w:p>
        </w:tc>
        <w:tc>
          <w:tcPr>
            <w:tcW w:w="4536" w:type="dxa"/>
            <w:tcBorders>
              <w:top w:val="single" w:color="auto" w:sz="4" w:space="0"/>
              <w:left w:val="single" w:color="auto" w:sz="4" w:space="0"/>
              <w:bottom w:val="single" w:color="auto" w:sz="4" w:space="0"/>
              <w:right w:val="single" w:color="auto" w:sz="4" w:space="0"/>
            </w:tcBorders>
          </w:tcPr>
          <w:p w14:paraId="3B637F66">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综合评分法</w:t>
            </w:r>
          </w:p>
        </w:tc>
      </w:tr>
      <w:tr w14:paraId="11ED1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restart"/>
            <w:tcBorders>
              <w:top w:val="single" w:color="auto" w:sz="4" w:space="0"/>
              <w:right w:val="single" w:color="auto" w:sz="4" w:space="0"/>
            </w:tcBorders>
            <w:vAlign w:val="center"/>
          </w:tcPr>
          <w:p w14:paraId="60CB3C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2.1.1</w:t>
            </w:r>
          </w:p>
        </w:tc>
        <w:tc>
          <w:tcPr>
            <w:tcW w:w="1085" w:type="dxa"/>
            <w:vMerge w:val="restart"/>
            <w:tcBorders>
              <w:top w:val="single" w:color="auto" w:sz="4" w:space="0"/>
              <w:right w:val="single" w:color="auto" w:sz="4" w:space="0"/>
            </w:tcBorders>
            <w:vAlign w:val="center"/>
          </w:tcPr>
          <w:p w14:paraId="732B03C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形式评审标准</w:t>
            </w:r>
          </w:p>
        </w:tc>
        <w:tc>
          <w:tcPr>
            <w:tcW w:w="2317" w:type="dxa"/>
            <w:tcBorders>
              <w:top w:val="single" w:color="auto" w:sz="4" w:space="0"/>
              <w:left w:val="single" w:color="auto" w:sz="4" w:space="0"/>
              <w:bottom w:val="single" w:color="auto" w:sz="4" w:space="0"/>
              <w:right w:val="single" w:color="auto" w:sz="4" w:space="0"/>
            </w:tcBorders>
            <w:vAlign w:val="center"/>
          </w:tcPr>
          <w:p w14:paraId="1719B6A9">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供应商名称</w:t>
            </w:r>
          </w:p>
        </w:tc>
        <w:tc>
          <w:tcPr>
            <w:tcW w:w="4536" w:type="dxa"/>
            <w:tcBorders>
              <w:top w:val="single" w:color="auto" w:sz="4" w:space="0"/>
              <w:left w:val="single" w:color="auto" w:sz="4" w:space="0"/>
              <w:bottom w:val="single" w:color="auto" w:sz="4" w:space="0"/>
              <w:right w:val="single" w:color="auto" w:sz="4" w:space="0"/>
            </w:tcBorders>
            <w:vAlign w:val="center"/>
          </w:tcPr>
          <w:p w14:paraId="26C80B2D">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与营业执照（事业单位法人证书）、资质证书一致</w:t>
            </w:r>
          </w:p>
        </w:tc>
      </w:tr>
      <w:tr w14:paraId="34398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right w:val="single" w:color="auto" w:sz="4" w:space="0"/>
            </w:tcBorders>
            <w:vAlign w:val="center"/>
          </w:tcPr>
          <w:p w14:paraId="219342F4">
            <w:pPr>
              <w:adjustRightInd w:val="0"/>
              <w:snapToGrid w:val="0"/>
              <w:rPr>
                <w:rFonts w:hint="eastAsia" w:ascii="仿宋" w:hAnsi="仿宋" w:eastAsia="仿宋" w:cs="仿宋"/>
                <w:sz w:val="24"/>
                <w:szCs w:val="24"/>
              </w:rPr>
            </w:pPr>
          </w:p>
        </w:tc>
        <w:tc>
          <w:tcPr>
            <w:tcW w:w="1085" w:type="dxa"/>
            <w:vMerge w:val="continue"/>
            <w:tcBorders>
              <w:right w:val="single" w:color="auto" w:sz="4" w:space="0"/>
            </w:tcBorders>
            <w:vAlign w:val="center"/>
          </w:tcPr>
          <w:p w14:paraId="14A68A42">
            <w:pPr>
              <w:adjustRightInd w:val="0"/>
              <w:snapToGrid w:val="0"/>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vAlign w:val="center"/>
          </w:tcPr>
          <w:p w14:paraId="3A02EEB7">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响应文件签字盖章</w:t>
            </w:r>
          </w:p>
        </w:tc>
        <w:tc>
          <w:tcPr>
            <w:tcW w:w="4536" w:type="dxa"/>
            <w:tcBorders>
              <w:top w:val="single" w:color="auto" w:sz="4" w:space="0"/>
              <w:left w:val="single" w:color="auto" w:sz="4" w:space="0"/>
              <w:bottom w:val="single" w:color="auto" w:sz="4" w:space="0"/>
              <w:right w:val="single" w:color="auto" w:sz="4" w:space="0"/>
            </w:tcBorders>
            <w:vAlign w:val="center"/>
          </w:tcPr>
          <w:p w14:paraId="26F814CB">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有法定代表人（单位负责人）或其委托代理人签字或加盖单位章。由法定代表人（单位负责人）签字的，应附法定代表人（单位负责人）身份证明，由代理人签字的，应附授权委托书，身份证明或授权委托书应符合第六章“</w:t>
            </w:r>
            <w:r>
              <w:rPr>
                <w:rFonts w:hint="eastAsia" w:ascii="仿宋" w:hAnsi="仿宋" w:eastAsia="仿宋" w:cs="仿宋"/>
                <w:sz w:val="24"/>
                <w:szCs w:val="24"/>
                <w:lang w:val="en-US" w:eastAsia="zh-CN"/>
              </w:rPr>
              <w:t>响应文件</w:t>
            </w:r>
            <w:r>
              <w:rPr>
                <w:rFonts w:hint="eastAsia" w:ascii="仿宋" w:hAnsi="仿宋" w:eastAsia="仿宋" w:cs="仿宋"/>
                <w:sz w:val="24"/>
                <w:szCs w:val="24"/>
              </w:rPr>
              <w:t>格式”的规定</w:t>
            </w:r>
          </w:p>
        </w:tc>
      </w:tr>
      <w:tr w14:paraId="02975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right w:val="single" w:color="auto" w:sz="4" w:space="0"/>
            </w:tcBorders>
            <w:vAlign w:val="center"/>
          </w:tcPr>
          <w:p w14:paraId="551FE532">
            <w:pPr>
              <w:adjustRightInd w:val="0"/>
              <w:snapToGrid w:val="0"/>
              <w:rPr>
                <w:rFonts w:hint="eastAsia" w:ascii="仿宋" w:hAnsi="仿宋" w:eastAsia="仿宋" w:cs="仿宋"/>
                <w:sz w:val="24"/>
                <w:szCs w:val="24"/>
              </w:rPr>
            </w:pPr>
          </w:p>
        </w:tc>
        <w:tc>
          <w:tcPr>
            <w:tcW w:w="1085" w:type="dxa"/>
            <w:vMerge w:val="continue"/>
            <w:tcBorders>
              <w:right w:val="single" w:color="auto" w:sz="4" w:space="0"/>
            </w:tcBorders>
            <w:vAlign w:val="center"/>
          </w:tcPr>
          <w:p w14:paraId="5BBF193E">
            <w:pPr>
              <w:adjustRightInd w:val="0"/>
              <w:snapToGrid w:val="0"/>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vAlign w:val="center"/>
          </w:tcPr>
          <w:p w14:paraId="7CD93ADC">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响应文件</w:t>
            </w:r>
            <w:r>
              <w:rPr>
                <w:rFonts w:hint="eastAsia" w:ascii="仿宋" w:hAnsi="仿宋" w:eastAsia="仿宋" w:cs="仿宋"/>
                <w:sz w:val="24"/>
                <w:szCs w:val="24"/>
              </w:rPr>
              <w:t>文件格式</w:t>
            </w:r>
          </w:p>
        </w:tc>
        <w:tc>
          <w:tcPr>
            <w:tcW w:w="4536" w:type="dxa"/>
            <w:tcBorders>
              <w:top w:val="single" w:color="auto" w:sz="4" w:space="0"/>
              <w:left w:val="single" w:color="auto" w:sz="4" w:space="0"/>
              <w:bottom w:val="single" w:color="auto" w:sz="4" w:space="0"/>
              <w:right w:val="single" w:color="auto" w:sz="4" w:space="0"/>
            </w:tcBorders>
            <w:vAlign w:val="center"/>
          </w:tcPr>
          <w:p w14:paraId="5C02A2E0">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符合第六章“</w:t>
            </w:r>
            <w:r>
              <w:rPr>
                <w:rFonts w:hint="eastAsia" w:ascii="仿宋" w:hAnsi="仿宋" w:eastAsia="仿宋" w:cs="仿宋"/>
                <w:sz w:val="24"/>
                <w:szCs w:val="24"/>
                <w:lang w:val="en-US" w:eastAsia="zh-CN"/>
              </w:rPr>
              <w:t>响应</w:t>
            </w:r>
            <w:r>
              <w:rPr>
                <w:rFonts w:hint="eastAsia" w:ascii="仿宋" w:hAnsi="仿宋" w:eastAsia="仿宋" w:cs="仿宋"/>
                <w:sz w:val="24"/>
                <w:szCs w:val="24"/>
              </w:rPr>
              <w:t>文件格式”的规定</w:t>
            </w:r>
          </w:p>
        </w:tc>
      </w:tr>
      <w:tr w14:paraId="37600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right w:val="single" w:color="auto" w:sz="4" w:space="0"/>
            </w:tcBorders>
            <w:vAlign w:val="center"/>
          </w:tcPr>
          <w:p w14:paraId="12B36E0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2.1.2</w:t>
            </w:r>
          </w:p>
        </w:tc>
        <w:tc>
          <w:tcPr>
            <w:tcW w:w="1085" w:type="dxa"/>
            <w:tcBorders>
              <w:top w:val="single" w:color="auto" w:sz="4" w:space="0"/>
              <w:left w:val="single" w:color="auto" w:sz="4" w:space="0"/>
              <w:right w:val="single" w:color="auto" w:sz="4" w:space="0"/>
            </w:tcBorders>
            <w:vAlign w:val="center"/>
          </w:tcPr>
          <w:p w14:paraId="745C3E6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资格评审标准</w:t>
            </w:r>
          </w:p>
        </w:tc>
        <w:tc>
          <w:tcPr>
            <w:tcW w:w="2317" w:type="dxa"/>
            <w:tcBorders>
              <w:top w:val="single" w:color="auto" w:sz="4" w:space="0"/>
              <w:left w:val="single" w:color="auto" w:sz="4" w:space="0"/>
              <w:bottom w:val="single" w:color="auto" w:sz="4" w:space="0"/>
              <w:right w:val="single" w:color="auto" w:sz="4" w:space="0"/>
            </w:tcBorders>
            <w:shd w:val="clear" w:color="auto" w:fill="auto"/>
            <w:vAlign w:val="center"/>
          </w:tcPr>
          <w:p w14:paraId="1DB334C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供应商资格要求</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53F32B26">
            <w:pPr>
              <w:adjustRightInd w:val="0"/>
              <w:snapToGrid w:val="0"/>
              <w:rPr>
                <w:rFonts w:hint="eastAsia" w:ascii="仿宋" w:hAnsi="仿宋" w:eastAsia="仿宋" w:cs="仿宋"/>
                <w:sz w:val="24"/>
                <w:szCs w:val="24"/>
              </w:rPr>
            </w:pPr>
            <w:r>
              <w:rPr>
                <w:rFonts w:hint="eastAsia" w:ascii="仿宋" w:hAnsi="仿宋" w:eastAsia="仿宋" w:cs="仿宋"/>
                <w:sz w:val="24"/>
                <w:szCs w:val="24"/>
              </w:rPr>
              <w:t>1、具有合格有效的营业执照，具有行业主管部门颁发的会计师事务所执业资格。</w:t>
            </w:r>
          </w:p>
          <w:p w14:paraId="5E8BF7AA">
            <w:pPr>
              <w:adjustRightInd w:val="0"/>
              <w:snapToGrid w:val="0"/>
              <w:rPr>
                <w:rFonts w:hint="eastAsia" w:ascii="仿宋" w:hAnsi="仿宋" w:eastAsia="仿宋" w:cs="仿宋"/>
                <w:sz w:val="24"/>
                <w:szCs w:val="24"/>
              </w:rPr>
            </w:pPr>
            <w:r>
              <w:rPr>
                <w:rFonts w:hint="eastAsia" w:ascii="仿宋" w:hAnsi="仿宋" w:eastAsia="仿宋" w:cs="仿宋"/>
                <w:sz w:val="24"/>
                <w:szCs w:val="24"/>
              </w:rPr>
              <w:t>2、供应商（不含其母子公司或分支机构）信誉要求：</w:t>
            </w:r>
          </w:p>
          <w:p w14:paraId="6753A16A">
            <w:pPr>
              <w:adjustRightInd w:val="0"/>
              <w:snapToGrid w:val="0"/>
              <w:rPr>
                <w:rFonts w:hint="eastAsia" w:ascii="仿宋" w:hAnsi="仿宋" w:eastAsia="仿宋" w:cs="仿宋"/>
                <w:sz w:val="24"/>
                <w:szCs w:val="24"/>
              </w:rPr>
            </w:pPr>
            <w:r>
              <w:rPr>
                <w:rFonts w:hint="eastAsia" w:ascii="仿宋" w:hAnsi="仿宋" w:eastAsia="仿宋" w:cs="仿宋"/>
                <w:sz w:val="24"/>
                <w:szCs w:val="24"/>
              </w:rPr>
              <w:t>（1）供应商未被最高人民法院列入失信被执行人名单；</w:t>
            </w:r>
          </w:p>
          <w:p w14:paraId="4616B110">
            <w:pPr>
              <w:adjustRightInd w:val="0"/>
              <w:snapToGrid w:val="0"/>
              <w:rPr>
                <w:rFonts w:hint="eastAsia" w:ascii="仿宋" w:hAnsi="仿宋" w:eastAsia="仿宋" w:cs="仿宋"/>
                <w:sz w:val="24"/>
                <w:szCs w:val="24"/>
              </w:rPr>
            </w:pPr>
            <w:r>
              <w:rPr>
                <w:rFonts w:hint="eastAsia" w:ascii="仿宋" w:hAnsi="仿宋" w:eastAsia="仿宋" w:cs="仿宋"/>
                <w:sz w:val="24"/>
                <w:szCs w:val="24"/>
              </w:rPr>
              <w:t>（2）供应商未被列入政府采购严重违法失信名单；</w:t>
            </w:r>
          </w:p>
          <w:p w14:paraId="036CFD89">
            <w:pPr>
              <w:adjustRightInd w:val="0"/>
              <w:snapToGrid w:val="0"/>
              <w:rPr>
                <w:rFonts w:hint="eastAsia" w:ascii="仿宋" w:hAnsi="仿宋" w:eastAsia="仿宋" w:cs="仿宋"/>
                <w:sz w:val="24"/>
                <w:szCs w:val="24"/>
              </w:rPr>
            </w:pPr>
            <w:r>
              <w:rPr>
                <w:rFonts w:hint="eastAsia" w:ascii="仿宋" w:hAnsi="仿宋" w:eastAsia="仿宋" w:cs="仿宋"/>
                <w:sz w:val="24"/>
                <w:szCs w:val="24"/>
              </w:rPr>
              <w:t>（3）供应商未被列入重大税收违法案件当事人名单。</w:t>
            </w:r>
          </w:p>
          <w:p w14:paraId="2AE368DA">
            <w:pPr>
              <w:adjustRightInd w:val="0"/>
              <w:snapToGrid w:val="0"/>
              <w:rPr>
                <w:rFonts w:hint="eastAsia" w:ascii="仿宋" w:hAnsi="仿宋" w:eastAsia="仿宋" w:cs="仿宋"/>
                <w:sz w:val="24"/>
                <w:szCs w:val="24"/>
              </w:rPr>
            </w:pPr>
            <w:r>
              <w:rPr>
                <w:rFonts w:hint="eastAsia" w:ascii="仿宋" w:hAnsi="仿宋" w:eastAsia="仿宋" w:cs="仿宋"/>
                <w:sz w:val="24"/>
                <w:szCs w:val="24"/>
              </w:rPr>
              <w:t>以“信用中国”网站查询结果为准，供应商须提供相关网站截图。</w:t>
            </w:r>
          </w:p>
          <w:p w14:paraId="409D670F">
            <w:pPr>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rPr>
              <w:t>3、本项目不接受联合体参与。</w:t>
            </w:r>
          </w:p>
        </w:tc>
      </w:tr>
      <w:tr w14:paraId="548A0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restart"/>
            <w:tcBorders>
              <w:top w:val="single" w:color="auto" w:sz="4" w:space="0"/>
              <w:right w:val="single" w:color="auto" w:sz="4" w:space="0"/>
            </w:tcBorders>
            <w:vAlign w:val="center"/>
          </w:tcPr>
          <w:p w14:paraId="4A1B4E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2.1.3</w:t>
            </w:r>
          </w:p>
        </w:tc>
        <w:tc>
          <w:tcPr>
            <w:tcW w:w="1085" w:type="dxa"/>
            <w:vMerge w:val="restart"/>
            <w:tcBorders>
              <w:top w:val="single" w:color="auto" w:sz="4" w:space="0"/>
              <w:left w:val="single" w:color="auto" w:sz="4" w:space="0"/>
              <w:right w:val="single" w:color="auto" w:sz="4" w:space="0"/>
            </w:tcBorders>
            <w:vAlign w:val="center"/>
          </w:tcPr>
          <w:p w14:paraId="23D4DE9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响应性评审标准</w:t>
            </w:r>
          </w:p>
        </w:tc>
        <w:tc>
          <w:tcPr>
            <w:tcW w:w="2317" w:type="dxa"/>
            <w:tcBorders>
              <w:top w:val="single" w:color="auto" w:sz="4" w:space="0"/>
              <w:left w:val="single" w:color="auto" w:sz="4" w:space="0"/>
              <w:bottom w:val="single" w:color="auto" w:sz="4" w:space="0"/>
              <w:right w:val="single" w:color="auto" w:sz="4" w:space="0"/>
            </w:tcBorders>
            <w:vAlign w:val="center"/>
          </w:tcPr>
          <w:p w14:paraId="76C19871">
            <w:pPr>
              <w:adjustRightInd w:val="0"/>
              <w:snapToGrid w:val="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报价</w:t>
            </w:r>
          </w:p>
        </w:tc>
        <w:tc>
          <w:tcPr>
            <w:tcW w:w="4536" w:type="dxa"/>
            <w:tcBorders>
              <w:top w:val="single" w:color="auto" w:sz="4" w:space="0"/>
              <w:left w:val="single" w:color="auto" w:sz="4" w:space="0"/>
              <w:bottom w:val="single" w:color="auto" w:sz="4" w:space="0"/>
            </w:tcBorders>
            <w:vAlign w:val="center"/>
          </w:tcPr>
          <w:p w14:paraId="32640E27">
            <w:pPr>
              <w:adjustRightInd w:val="0"/>
              <w:snapToGrid w:val="0"/>
              <w:rPr>
                <w:rFonts w:hint="eastAsia" w:ascii="仿宋" w:hAnsi="仿宋" w:eastAsia="仿宋" w:cs="仿宋"/>
                <w:color w:val="558ED5" w:themeColor="text2" w:themeTint="99"/>
                <w:kern w:val="2"/>
                <w:sz w:val="24"/>
                <w:szCs w:val="24"/>
                <w:lang w:val="en-US" w:eastAsia="zh-CN" w:bidi="ar-SA"/>
                <w14:textFill>
                  <w14:solidFill>
                    <w14:schemeClr w14:val="tx2">
                      <w14:lumMod w14:val="60000"/>
                      <w14:lumOff w14:val="40000"/>
                    </w14:schemeClr>
                  </w14:solidFill>
                </w14:textFill>
              </w:rPr>
            </w:pPr>
            <w:r>
              <w:rPr>
                <w:rFonts w:hint="eastAsia" w:ascii="仿宋" w:hAnsi="仿宋" w:eastAsia="仿宋" w:cs="仿宋"/>
                <w:sz w:val="24"/>
                <w:szCs w:val="24"/>
              </w:rPr>
              <w:t>符合第二章第3.2款规定</w:t>
            </w:r>
          </w:p>
        </w:tc>
      </w:tr>
      <w:tr w14:paraId="1945B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right w:val="single" w:color="auto" w:sz="4" w:space="0"/>
            </w:tcBorders>
            <w:vAlign w:val="center"/>
          </w:tcPr>
          <w:p w14:paraId="6BE6EA73">
            <w:pPr>
              <w:adjustRightInd w:val="0"/>
              <w:snapToGrid w:val="0"/>
              <w:jc w:val="center"/>
              <w:rPr>
                <w:rFonts w:hint="eastAsia" w:ascii="仿宋" w:hAnsi="仿宋" w:eastAsia="仿宋" w:cs="仿宋"/>
                <w:sz w:val="24"/>
                <w:szCs w:val="24"/>
              </w:rPr>
            </w:pPr>
          </w:p>
        </w:tc>
        <w:tc>
          <w:tcPr>
            <w:tcW w:w="1085" w:type="dxa"/>
            <w:vMerge w:val="continue"/>
            <w:tcBorders>
              <w:left w:val="single" w:color="auto" w:sz="4" w:space="0"/>
              <w:right w:val="single" w:color="auto" w:sz="4" w:space="0"/>
            </w:tcBorders>
            <w:vAlign w:val="center"/>
          </w:tcPr>
          <w:p w14:paraId="6B739BA4">
            <w:pPr>
              <w:adjustRightInd w:val="0"/>
              <w:snapToGrid w:val="0"/>
              <w:jc w:val="center"/>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vAlign w:val="center"/>
          </w:tcPr>
          <w:p w14:paraId="6E7B3E5E">
            <w:pPr>
              <w:adjustRightInd w:val="0"/>
              <w:snapToGrid w:val="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响应内容</w:t>
            </w:r>
          </w:p>
        </w:tc>
        <w:tc>
          <w:tcPr>
            <w:tcW w:w="4536" w:type="dxa"/>
            <w:tcBorders>
              <w:top w:val="single" w:color="auto" w:sz="4" w:space="0"/>
              <w:left w:val="single" w:color="auto" w:sz="4" w:space="0"/>
              <w:bottom w:val="single" w:color="auto" w:sz="4" w:space="0"/>
            </w:tcBorders>
            <w:vAlign w:val="center"/>
          </w:tcPr>
          <w:p w14:paraId="255CDE05">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符合第</w:t>
            </w:r>
            <w:r>
              <w:rPr>
                <w:rFonts w:hint="eastAsia" w:ascii="仿宋" w:hAnsi="仿宋" w:eastAsia="仿宋" w:cs="仿宋"/>
                <w:sz w:val="24"/>
                <w:szCs w:val="24"/>
                <w:lang w:val="en-US" w:eastAsia="zh-CN"/>
              </w:rPr>
              <w:t>一</w:t>
            </w:r>
            <w:r>
              <w:rPr>
                <w:rFonts w:hint="eastAsia" w:ascii="仿宋" w:hAnsi="仿宋" w:eastAsia="仿宋" w:cs="仿宋"/>
                <w:sz w:val="24"/>
                <w:szCs w:val="24"/>
              </w:rPr>
              <w:t>章“</w:t>
            </w:r>
            <w:r>
              <w:rPr>
                <w:rFonts w:hint="eastAsia" w:ascii="仿宋" w:hAnsi="仿宋" w:eastAsia="仿宋" w:cs="仿宋"/>
                <w:sz w:val="24"/>
                <w:szCs w:val="24"/>
                <w:lang w:val="en-US" w:eastAsia="zh-CN"/>
              </w:rPr>
              <w:t>询比</w:t>
            </w:r>
            <w:r>
              <w:rPr>
                <w:rFonts w:hint="eastAsia" w:ascii="仿宋" w:hAnsi="仿宋" w:eastAsia="仿宋" w:cs="仿宋"/>
                <w:sz w:val="24"/>
                <w:szCs w:val="24"/>
              </w:rPr>
              <w:t>采购公告”第</w:t>
            </w:r>
            <w:r>
              <w:rPr>
                <w:rFonts w:hint="eastAsia" w:ascii="仿宋" w:hAnsi="仿宋" w:eastAsia="仿宋" w:cs="仿宋"/>
                <w:color w:val="000000"/>
                <w:sz w:val="24"/>
                <w:szCs w:val="24"/>
                <w:lang w:val="en-US" w:eastAsia="zh-CN"/>
              </w:rPr>
              <w:t>2.3款</w:t>
            </w:r>
            <w:r>
              <w:rPr>
                <w:rFonts w:hint="eastAsia" w:ascii="仿宋" w:hAnsi="仿宋" w:eastAsia="仿宋" w:cs="仿宋"/>
                <w:sz w:val="24"/>
                <w:szCs w:val="24"/>
              </w:rPr>
              <w:t>规定</w:t>
            </w:r>
          </w:p>
        </w:tc>
      </w:tr>
      <w:tr w14:paraId="4D31A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right w:val="single" w:color="auto" w:sz="4" w:space="0"/>
            </w:tcBorders>
            <w:vAlign w:val="center"/>
          </w:tcPr>
          <w:p w14:paraId="6DC0288A">
            <w:pPr>
              <w:adjustRightInd w:val="0"/>
              <w:snapToGrid w:val="0"/>
              <w:jc w:val="center"/>
              <w:rPr>
                <w:rFonts w:hint="eastAsia" w:ascii="仿宋" w:hAnsi="仿宋" w:eastAsia="仿宋" w:cs="仿宋"/>
                <w:sz w:val="24"/>
                <w:szCs w:val="24"/>
              </w:rPr>
            </w:pPr>
          </w:p>
        </w:tc>
        <w:tc>
          <w:tcPr>
            <w:tcW w:w="1085" w:type="dxa"/>
            <w:vMerge w:val="continue"/>
            <w:tcBorders>
              <w:left w:val="single" w:color="auto" w:sz="4" w:space="0"/>
              <w:right w:val="single" w:color="auto" w:sz="4" w:space="0"/>
            </w:tcBorders>
            <w:vAlign w:val="center"/>
          </w:tcPr>
          <w:p w14:paraId="6F2BD912">
            <w:pPr>
              <w:adjustRightInd w:val="0"/>
              <w:snapToGrid w:val="0"/>
              <w:jc w:val="center"/>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vAlign w:val="center"/>
          </w:tcPr>
          <w:p w14:paraId="298A908E">
            <w:pPr>
              <w:adjustRightInd w:val="0"/>
              <w:snapToGrid w:val="0"/>
              <w:jc w:val="left"/>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rPr>
              <w:t>服务期限</w:t>
            </w:r>
          </w:p>
        </w:tc>
        <w:tc>
          <w:tcPr>
            <w:tcW w:w="4536" w:type="dxa"/>
            <w:tcBorders>
              <w:top w:val="single" w:color="auto" w:sz="4" w:space="0"/>
              <w:left w:val="single" w:color="auto" w:sz="4" w:space="0"/>
              <w:bottom w:val="single" w:color="auto" w:sz="4" w:space="0"/>
            </w:tcBorders>
            <w:vAlign w:val="center"/>
          </w:tcPr>
          <w:p w14:paraId="170F741F">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符合第</w:t>
            </w:r>
            <w:r>
              <w:rPr>
                <w:rFonts w:hint="eastAsia" w:ascii="仿宋" w:hAnsi="仿宋" w:eastAsia="仿宋" w:cs="仿宋"/>
                <w:sz w:val="24"/>
                <w:szCs w:val="24"/>
                <w:lang w:val="en-US" w:eastAsia="zh-CN"/>
              </w:rPr>
              <w:t>一</w:t>
            </w:r>
            <w:r>
              <w:rPr>
                <w:rFonts w:hint="eastAsia" w:ascii="仿宋" w:hAnsi="仿宋" w:eastAsia="仿宋" w:cs="仿宋"/>
                <w:sz w:val="24"/>
                <w:szCs w:val="24"/>
              </w:rPr>
              <w:t>章“</w:t>
            </w:r>
            <w:r>
              <w:rPr>
                <w:rFonts w:hint="eastAsia" w:ascii="仿宋" w:hAnsi="仿宋" w:eastAsia="仿宋" w:cs="仿宋"/>
                <w:sz w:val="24"/>
                <w:szCs w:val="24"/>
                <w:lang w:val="en-US" w:eastAsia="zh-CN"/>
              </w:rPr>
              <w:t>询比</w:t>
            </w:r>
            <w:r>
              <w:rPr>
                <w:rFonts w:hint="eastAsia" w:ascii="仿宋" w:hAnsi="仿宋" w:eastAsia="仿宋" w:cs="仿宋"/>
                <w:sz w:val="24"/>
                <w:szCs w:val="24"/>
              </w:rPr>
              <w:t>采购公告”第</w:t>
            </w:r>
            <w:r>
              <w:rPr>
                <w:rFonts w:hint="eastAsia" w:ascii="仿宋" w:hAnsi="仿宋" w:eastAsia="仿宋" w:cs="仿宋"/>
                <w:color w:val="000000"/>
                <w:sz w:val="24"/>
                <w:szCs w:val="24"/>
                <w:lang w:val="en-US" w:eastAsia="zh-CN"/>
              </w:rPr>
              <w:t>2.4款</w:t>
            </w:r>
            <w:r>
              <w:rPr>
                <w:rFonts w:hint="eastAsia" w:ascii="仿宋" w:hAnsi="仿宋" w:eastAsia="仿宋" w:cs="仿宋"/>
                <w:sz w:val="24"/>
                <w:szCs w:val="24"/>
              </w:rPr>
              <w:t>规定</w:t>
            </w:r>
          </w:p>
        </w:tc>
      </w:tr>
      <w:tr w14:paraId="02619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bottom w:val="single" w:color="auto" w:sz="4" w:space="0"/>
              <w:right w:val="single" w:color="auto" w:sz="4" w:space="0"/>
            </w:tcBorders>
            <w:vAlign w:val="center"/>
          </w:tcPr>
          <w:p w14:paraId="2282BA87">
            <w:pPr>
              <w:adjustRightInd w:val="0"/>
              <w:snapToGrid w:val="0"/>
              <w:jc w:val="center"/>
              <w:rPr>
                <w:rFonts w:hint="eastAsia" w:ascii="仿宋" w:hAnsi="仿宋" w:eastAsia="仿宋" w:cs="仿宋"/>
                <w:sz w:val="24"/>
                <w:szCs w:val="24"/>
              </w:rPr>
            </w:pPr>
          </w:p>
        </w:tc>
        <w:tc>
          <w:tcPr>
            <w:tcW w:w="1085" w:type="dxa"/>
            <w:vMerge w:val="continue"/>
            <w:tcBorders>
              <w:left w:val="single" w:color="auto" w:sz="4" w:space="0"/>
              <w:bottom w:val="single" w:color="auto" w:sz="4" w:space="0"/>
              <w:right w:val="single" w:color="auto" w:sz="4" w:space="0"/>
            </w:tcBorders>
            <w:vAlign w:val="center"/>
          </w:tcPr>
          <w:p w14:paraId="663B2138">
            <w:pPr>
              <w:adjustRightInd w:val="0"/>
              <w:snapToGrid w:val="0"/>
              <w:jc w:val="center"/>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vAlign w:val="center"/>
          </w:tcPr>
          <w:p w14:paraId="0CC01A9D">
            <w:pPr>
              <w:adjustRightInd w:val="0"/>
              <w:snapToGrid w:val="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sz w:val="24"/>
                <w:szCs w:val="24"/>
                <w:highlight w:val="none"/>
                <w:lang w:val="en-US" w:eastAsia="zh-CN"/>
              </w:rPr>
              <w:t>服务地点</w:t>
            </w:r>
          </w:p>
        </w:tc>
        <w:tc>
          <w:tcPr>
            <w:tcW w:w="4536" w:type="dxa"/>
            <w:tcBorders>
              <w:top w:val="single" w:color="auto" w:sz="4" w:space="0"/>
              <w:left w:val="single" w:color="auto" w:sz="4" w:space="0"/>
              <w:bottom w:val="single" w:color="auto" w:sz="4" w:space="0"/>
            </w:tcBorders>
            <w:vAlign w:val="center"/>
          </w:tcPr>
          <w:p w14:paraId="1146B29F">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符合第</w:t>
            </w:r>
            <w:r>
              <w:rPr>
                <w:rFonts w:hint="eastAsia" w:ascii="仿宋" w:hAnsi="仿宋" w:eastAsia="仿宋" w:cs="仿宋"/>
                <w:sz w:val="24"/>
                <w:szCs w:val="24"/>
                <w:lang w:val="en-US" w:eastAsia="zh-CN"/>
              </w:rPr>
              <w:t>一</w:t>
            </w:r>
            <w:r>
              <w:rPr>
                <w:rFonts w:hint="eastAsia" w:ascii="仿宋" w:hAnsi="仿宋" w:eastAsia="仿宋" w:cs="仿宋"/>
                <w:sz w:val="24"/>
                <w:szCs w:val="24"/>
              </w:rPr>
              <w:t>章“</w:t>
            </w:r>
            <w:r>
              <w:rPr>
                <w:rFonts w:hint="eastAsia" w:ascii="仿宋" w:hAnsi="仿宋" w:eastAsia="仿宋" w:cs="仿宋"/>
                <w:sz w:val="24"/>
                <w:szCs w:val="24"/>
                <w:lang w:val="en-US" w:eastAsia="zh-CN"/>
              </w:rPr>
              <w:t>询比</w:t>
            </w:r>
            <w:r>
              <w:rPr>
                <w:rFonts w:hint="eastAsia" w:ascii="仿宋" w:hAnsi="仿宋" w:eastAsia="仿宋" w:cs="仿宋"/>
                <w:sz w:val="24"/>
                <w:szCs w:val="24"/>
              </w:rPr>
              <w:t>采购公告”第</w:t>
            </w:r>
            <w:r>
              <w:rPr>
                <w:rFonts w:hint="eastAsia" w:ascii="仿宋" w:hAnsi="仿宋" w:eastAsia="仿宋" w:cs="仿宋"/>
                <w:color w:val="000000"/>
                <w:sz w:val="24"/>
                <w:szCs w:val="24"/>
                <w:lang w:val="en-US" w:eastAsia="zh-CN"/>
              </w:rPr>
              <w:t>2.5款</w:t>
            </w:r>
            <w:r>
              <w:rPr>
                <w:rFonts w:hint="eastAsia" w:ascii="仿宋" w:hAnsi="仿宋" w:eastAsia="仿宋" w:cs="仿宋"/>
                <w:sz w:val="24"/>
                <w:szCs w:val="24"/>
              </w:rPr>
              <w:t>规定</w:t>
            </w:r>
          </w:p>
        </w:tc>
      </w:tr>
      <w:tr w14:paraId="542B8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top w:val="single" w:color="auto" w:sz="4" w:space="0"/>
              <w:bottom w:val="single" w:color="auto" w:sz="4" w:space="0"/>
              <w:right w:val="single" w:color="auto" w:sz="4" w:space="0"/>
            </w:tcBorders>
            <w:vAlign w:val="center"/>
          </w:tcPr>
          <w:p w14:paraId="609D1845">
            <w:pPr>
              <w:adjustRightInd w:val="0"/>
              <w:snapToGrid w:val="0"/>
              <w:jc w:val="center"/>
              <w:rPr>
                <w:rFonts w:hint="eastAsia" w:ascii="仿宋" w:hAnsi="仿宋" w:eastAsia="仿宋" w:cs="仿宋"/>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7E522317">
            <w:pPr>
              <w:adjustRightInd w:val="0"/>
              <w:snapToGrid w:val="0"/>
              <w:jc w:val="center"/>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vAlign w:val="center"/>
          </w:tcPr>
          <w:p w14:paraId="497A07E6">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响应文件有效期</w:t>
            </w:r>
          </w:p>
        </w:tc>
        <w:tc>
          <w:tcPr>
            <w:tcW w:w="4536" w:type="dxa"/>
            <w:tcBorders>
              <w:top w:val="single" w:color="auto" w:sz="4" w:space="0"/>
              <w:left w:val="single" w:color="auto" w:sz="4" w:space="0"/>
              <w:bottom w:val="single" w:color="auto" w:sz="4" w:space="0"/>
            </w:tcBorders>
            <w:vAlign w:val="center"/>
          </w:tcPr>
          <w:p w14:paraId="521FF39A">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符合第二章第3.3.1项规定</w:t>
            </w:r>
          </w:p>
        </w:tc>
      </w:tr>
      <w:tr w14:paraId="329B4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top w:val="single" w:color="auto" w:sz="4" w:space="0"/>
              <w:bottom w:val="single" w:color="auto" w:sz="4" w:space="0"/>
              <w:right w:val="single" w:color="auto" w:sz="4" w:space="0"/>
            </w:tcBorders>
            <w:vAlign w:val="center"/>
          </w:tcPr>
          <w:p w14:paraId="692AE519">
            <w:pPr>
              <w:adjustRightInd w:val="0"/>
              <w:snapToGrid w:val="0"/>
              <w:jc w:val="center"/>
              <w:rPr>
                <w:rFonts w:hint="eastAsia" w:ascii="仿宋" w:hAnsi="仿宋" w:eastAsia="仿宋" w:cs="仿宋"/>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259CA740">
            <w:pPr>
              <w:adjustRightInd w:val="0"/>
              <w:snapToGrid w:val="0"/>
              <w:jc w:val="center"/>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vAlign w:val="center"/>
          </w:tcPr>
          <w:p w14:paraId="05D19CD3">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响应保证金</w:t>
            </w:r>
          </w:p>
        </w:tc>
        <w:tc>
          <w:tcPr>
            <w:tcW w:w="4536" w:type="dxa"/>
            <w:tcBorders>
              <w:top w:val="single" w:color="auto" w:sz="4" w:space="0"/>
              <w:left w:val="single" w:color="auto" w:sz="4" w:space="0"/>
              <w:bottom w:val="single" w:color="auto" w:sz="4" w:space="0"/>
            </w:tcBorders>
            <w:vAlign w:val="center"/>
          </w:tcPr>
          <w:p w14:paraId="7F887DCE">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符合第二章第3.4.1项规定</w:t>
            </w:r>
          </w:p>
        </w:tc>
      </w:tr>
      <w:tr w14:paraId="09B20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top w:val="single" w:color="auto" w:sz="4" w:space="0"/>
              <w:bottom w:val="single" w:color="auto" w:sz="4" w:space="0"/>
              <w:right w:val="single" w:color="auto" w:sz="4" w:space="0"/>
            </w:tcBorders>
            <w:vAlign w:val="center"/>
          </w:tcPr>
          <w:p w14:paraId="2405332B">
            <w:pPr>
              <w:adjustRightInd w:val="0"/>
              <w:snapToGrid w:val="0"/>
              <w:jc w:val="center"/>
              <w:rPr>
                <w:rFonts w:hint="eastAsia" w:ascii="仿宋" w:hAnsi="仿宋" w:eastAsia="仿宋" w:cs="仿宋"/>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31C77AAA">
            <w:pPr>
              <w:adjustRightInd w:val="0"/>
              <w:snapToGrid w:val="0"/>
              <w:jc w:val="center"/>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vAlign w:val="center"/>
          </w:tcPr>
          <w:p w14:paraId="33E0499B">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标记“*”的</w:t>
            </w:r>
            <w:r>
              <w:rPr>
                <w:rFonts w:hint="eastAsia" w:ascii="仿宋" w:hAnsi="仿宋" w:eastAsia="仿宋" w:cs="仿宋"/>
                <w:sz w:val="24"/>
                <w:szCs w:val="24"/>
              </w:rPr>
              <w:t>合同条款</w:t>
            </w:r>
          </w:p>
        </w:tc>
        <w:tc>
          <w:tcPr>
            <w:tcW w:w="4536" w:type="dxa"/>
            <w:tcBorders>
              <w:top w:val="single" w:color="auto" w:sz="4" w:space="0"/>
              <w:left w:val="single" w:color="auto" w:sz="4" w:space="0"/>
              <w:bottom w:val="single" w:color="auto" w:sz="4" w:space="0"/>
            </w:tcBorders>
            <w:vAlign w:val="center"/>
          </w:tcPr>
          <w:p w14:paraId="736ED656">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符合第二章第1.10.1项规定</w:t>
            </w:r>
          </w:p>
        </w:tc>
      </w:tr>
      <w:tr w14:paraId="1726B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top w:val="single" w:color="auto" w:sz="4" w:space="0"/>
              <w:bottom w:val="single" w:color="auto" w:sz="4" w:space="0"/>
              <w:right w:val="single" w:color="auto" w:sz="4" w:space="0"/>
            </w:tcBorders>
            <w:vAlign w:val="center"/>
          </w:tcPr>
          <w:p w14:paraId="00C8858B">
            <w:pPr>
              <w:adjustRightInd w:val="0"/>
              <w:snapToGrid w:val="0"/>
              <w:rPr>
                <w:rFonts w:hint="eastAsia" w:ascii="仿宋" w:hAnsi="仿宋" w:eastAsia="仿宋" w:cs="仿宋"/>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3D3D7873">
            <w:pPr>
              <w:adjustRightInd w:val="0"/>
              <w:snapToGrid w:val="0"/>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vAlign w:val="center"/>
          </w:tcPr>
          <w:p w14:paraId="385B42AA">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标记“*”的采购需求</w:t>
            </w:r>
            <w:r>
              <w:rPr>
                <w:rFonts w:hint="eastAsia" w:ascii="仿宋" w:hAnsi="仿宋" w:eastAsia="仿宋" w:cs="仿宋"/>
                <w:sz w:val="24"/>
                <w:szCs w:val="24"/>
              </w:rPr>
              <w:t>条款</w:t>
            </w:r>
          </w:p>
        </w:tc>
        <w:tc>
          <w:tcPr>
            <w:tcW w:w="4536" w:type="dxa"/>
            <w:tcBorders>
              <w:top w:val="single" w:color="auto" w:sz="4" w:space="0"/>
              <w:left w:val="single" w:color="auto" w:sz="4" w:space="0"/>
              <w:bottom w:val="single" w:color="auto" w:sz="4" w:space="0"/>
            </w:tcBorders>
            <w:vAlign w:val="center"/>
          </w:tcPr>
          <w:p w14:paraId="74EF2D11">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符合第二章第1.10.1项规定</w:t>
            </w:r>
          </w:p>
        </w:tc>
      </w:tr>
      <w:tr w14:paraId="76DFD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top w:val="single" w:color="auto" w:sz="4" w:space="0"/>
              <w:bottom w:val="single" w:color="auto" w:sz="4" w:space="0"/>
              <w:right w:val="single" w:color="auto" w:sz="4" w:space="0"/>
            </w:tcBorders>
            <w:vAlign w:val="center"/>
          </w:tcPr>
          <w:p w14:paraId="3B554CA5">
            <w:pPr>
              <w:adjustRightInd w:val="0"/>
              <w:snapToGrid w:val="0"/>
              <w:rPr>
                <w:rFonts w:hint="eastAsia" w:ascii="仿宋" w:hAnsi="仿宋" w:eastAsia="仿宋" w:cs="仿宋"/>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28B65C43">
            <w:pPr>
              <w:adjustRightInd w:val="0"/>
              <w:snapToGrid w:val="0"/>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vAlign w:val="center"/>
          </w:tcPr>
          <w:p w14:paraId="2F31AAD9">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对非关键条款的偏差</w:t>
            </w:r>
          </w:p>
        </w:tc>
        <w:tc>
          <w:tcPr>
            <w:tcW w:w="4536" w:type="dxa"/>
            <w:tcBorders>
              <w:top w:val="single" w:color="auto" w:sz="4" w:space="0"/>
              <w:left w:val="single" w:color="auto" w:sz="4" w:space="0"/>
              <w:bottom w:val="single" w:color="auto" w:sz="4" w:space="0"/>
            </w:tcBorders>
            <w:vAlign w:val="center"/>
          </w:tcPr>
          <w:p w14:paraId="548743CE">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偏差范围和偏差项数符合第二章第1.10.2项的规定</w:t>
            </w:r>
          </w:p>
        </w:tc>
      </w:tr>
      <w:tr w14:paraId="0BCCC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94" w:type="dxa"/>
            <w:gridSpan w:val="2"/>
            <w:tcBorders>
              <w:bottom w:val="single" w:color="auto" w:sz="4" w:space="0"/>
              <w:right w:val="single" w:color="auto" w:sz="4" w:space="0"/>
            </w:tcBorders>
            <w:vAlign w:val="center"/>
          </w:tcPr>
          <w:p w14:paraId="7C51A50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2.2.2</w:t>
            </w:r>
          </w:p>
        </w:tc>
        <w:tc>
          <w:tcPr>
            <w:tcW w:w="2317" w:type="dxa"/>
            <w:tcBorders>
              <w:top w:val="single" w:color="auto" w:sz="4" w:space="0"/>
              <w:left w:val="single" w:color="auto" w:sz="4" w:space="0"/>
              <w:bottom w:val="single" w:color="auto" w:sz="4" w:space="0"/>
              <w:right w:val="single" w:color="auto" w:sz="4" w:space="0"/>
            </w:tcBorders>
            <w:vAlign w:val="center"/>
          </w:tcPr>
          <w:p w14:paraId="21FD6032">
            <w:pPr>
              <w:adjustRightInd w:val="0"/>
              <w:snapToGrid w:val="0"/>
              <w:jc w:val="center"/>
              <w:rPr>
                <w:rFonts w:hint="eastAsia" w:ascii="仿宋" w:hAnsi="仿宋" w:eastAsia="仿宋" w:cs="仿宋"/>
                <w:sz w:val="24"/>
                <w:szCs w:val="24"/>
              </w:rPr>
            </w:pPr>
            <w:r>
              <w:rPr>
                <w:rFonts w:hint="eastAsia" w:ascii="仿宋" w:hAnsi="仿宋" w:eastAsia="仿宋" w:cs="仿宋"/>
                <w:color w:val="000000"/>
                <w:sz w:val="24"/>
                <w:szCs w:val="24"/>
              </w:rPr>
              <w:t>评审价格</w:t>
            </w:r>
          </w:p>
        </w:tc>
        <w:tc>
          <w:tcPr>
            <w:tcW w:w="4536" w:type="dxa"/>
            <w:tcBorders>
              <w:top w:val="single" w:color="auto" w:sz="4" w:space="0"/>
              <w:left w:val="single" w:color="auto" w:sz="4" w:space="0"/>
            </w:tcBorders>
            <w:vAlign w:val="center"/>
          </w:tcPr>
          <w:p w14:paraId="6C7291FA">
            <w:pPr>
              <w:adjustRightInd w:val="0"/>
              <w:snapToGrid w:val="0"/>
              <w:rPr>
                <w:rFonts w:hint="eastAsia" w:ascii="仿宋" w:hAnsi="仿宋" w:eastAsia="仿宋" w:cs="仿宋"/>
                <w:sz w:val="24"/>
                <w:szCs w:val="24"/>
              </w:rPr>
            </w:pPr>
            <w:r>
              <w:rPr>
                <w:rFonts w:hint="eastAsia" w:ascii="Times New Roman"/>
                <w:szCs w:val="21"/>
              </w:rPr>
              <w:t>/</w:t>
            </w:r>
          </w:p>
        </w:tc>
      </w:tr>
      <w:tr w14:paraId="3AA79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94" w:type="dxa"/>
            <w:gridSpan w:val="2"/>
            <w:tcBorders>
              <w:top w:val="single" w:color="auto" w:sz="4" w:space="0"/>
              <w:right w:val="single" w:color="auto" w:sz="4" w:space="0"/>
            </w:tcBorders>
            <w:vAlign w:val="center"/>
          </w:tcPr>
          <w:p w14:paraId="0BEFB090">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条款号</w:t>
            </w:r>
          </w:p>
        </w:tc>
        <w:tc>
          <w:tcPr>
            <w:tcW w:w="2317" w:type="dxa"/>
            <w:tcBorders>
              <w:top w:val="single" w:color="auto" w:sz="4" w:space="0"/>
              <w:left w:val="single" w:color="auto" w:sz="4" w:space="0"/>
              <w:right w:val="single" w:color="auto" w:sz="4" w:space="0"/>
            </w:tcBorders>
            <w:vAlign w:val="center"/>
          </w:tcPr>
          <w:p w14:paraId="76D79FB0">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条款内容</w:t>
            </w:r>
          </w:p>
        </w:tc>
        <w:tc>
          <w:tcPr>
            <w:tcW w:w="4536" w:type="dxa"/>
            <w:tcBorders>
              <w:top w:val="single" w:color="auto" w:sz="4" w:space="0"/>
              <w:left w:val="single" w:color="auto" w:sz="4" w:space="0"/>
            </w:tcBorders>
            <w:vAlign w:val="center"/>
          </w:tcPr>
          <w:p w14:paraId="254F979E">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编列内容</w:t>
            </w:r>
          </w:p>
        </w:tc>
      </w:tr>
      <w:tr w14:paraId="251CC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47" w:type="dxa"/>
            <w:gridSpan w:val="4"/>
            <w:tcBorders>
              <w:top w:val="single" w:color="auto" w:sz="4" w:space="0"/>
              <w:bottom w:val="single" w:color="auto" w:sz="4" w:space="0"/>
              <w:right w:val="single" w:color="auto" w:sz="4" w:space="0"/>
            </w:tcBorders>
            <w:vAlign w:val="center"/>
          </w:tcPr>
          <w:p w14:paraId="422755AF">
            <w:pPr>
              <w:adjustRightInd w:val="0"/>
              <w:snapToGrid w:val="0"/>
              <w:jc w:val="center"/>
              <w:rPr>
                <w:rFonts w:hint="eastAsia" w:ascii="仿宋" w:hAnsi="仿宋" w:eastAsia="仿宋" w:cs="仿宋"/>
                <w:sz w:val="24"/>
                <w:szCs w:val="24"/>
              </w:rPr>
            </w:pPr>
            <w:r>
              <w:rPr>
                <w:rFonts w:hint="eastAsia" w:ascii="仿宋" w:hAnsi="仿宋" w:eastAsia="仿宋" w:cs="仿宋"/>
                <w:b/>
                <w:sz w:val="24"/>
                <w:szCs w:val="24"/>
              </w:rPr>
              <w:t>3.</w:t>
            </w:r>
            <w:r>
              <w:rPr>
                <w:rFonts w:hint="eastAsia" w:ascii="仿宋" w:hAnsi="仿宋" w:eastAsia="仿宋" w:cs="仿宋"/>
                <w:sz w:val="24"/>
                <w:szCs w:val="24"/>
              </w:rPr>
              <w:t xml:space="preserve"> </w:t>
            </w:r>
            <w:r>
              <w:rPr>
                <w:rFonts w:hint="eastAsia" w:ascii="仿宋" w:hAnsi="仿宋" w:eastAsia="仿宋" w:cs="仿宋"/>
                <w:b/>
                <w:sz w:val="24"/>
                <w:szCs w:val="24"/>
              </w:rPr>
              <w:t>详细评审标准和程序</w:t>
            </w:r>
          </w:p>
        </w:tc>
      </w:tr>
      <w:tr w14:paraId="2D8F7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94" w:type="dxa"/>
            <w:gridSpan w:val="2"/>
            <w:tcBorders>
              <w:top w:val="single" w:color="auto" w:sz="4" w:space="0"/>
              <w:bottom w:val="single" w:color="auto" w:sz="4" w:space="0"/>
              <w:right w:val="single" w:color="auto" w:sz="4" w:space="0"/>
            </w:tcBorders>
            <w:vAlign w:val="center"/>
          </w:tcPr>
          <w:p w14:paraId="6401B8D9">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条款号</w:t>
            </w:r>
          </w:p>
        </w:tc>
        <w:tc>
          <w:tcPr>
            <w:tcW w:w="2317" w:type="dxa"/>
            <w:tcBorders>
              <w:top w:val="single" w:color="auto" w:sz="4" w:space="0"/>
              <w:left w:val="single" w:color="auto" w:sz="4" w:space="0"/>
              <w:bottom w:val="single" w:color="auto" w:sz="4" w:space="0"/>
              <w:right w:val="single" w:color="auto" w:sz="4" w:space="0"/>
            </w:tcBorders>
            <w:vAlign w:val="center"/>
          </w:tcPr>
          <w:p w14:paraId="52E8AE88">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条款内容</w:t>
            </w:r>
          </w:p>
        </w:tc>
        <w:tc>
          <w:tcPr>
            <w:tcW w:w="4536" w:type="dxa"/>
            <w:tcBorders>
              <w:top w:val="single" w:color="auto" w:sz="4" w:space="0"/>
              <w:left w:val="single" w:color="auto" w:sz="4" w:space="0"/>
              <w:bottom w:val="single" w:color="auto" w:sz="4" w:space="0"/>
              <w:right w:val="single" w:color="auto" w:sz="4" w:space="0"/>
            </w:tcBorders>
            <w:vAlign w:val="center"/>
          </w:tcPr>
          <w:p w14:paraId="647ADE8E">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编列内容</w:t>
            </w:r>
          </w:p>
        </w:tc>
      </w:tr>
      <w:tr w14:paraId="4A2F5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94" w:type="dxa"/>
            <w:gridSpan w:val="2"/>
            <w:tcBorders>
              <w:bottom w:val="single" w:color="auto" w:sz="4" w:space="0"/>
              <w:right w:val="single" w:color="auto" w:sz="4" w:space="0"/>
            </w:tcBorders>
            <w:vAlign w:val="center"/>
          </w:tcPr>
          <w:p w14:paraId="73AFA9E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3. 1</w:t>
            </w:r>
          </w:p>
        </w:tc>
        <w:tc>
          <w:tcPr>
            <w:tcW w:w="2317" w:type="dxa"/>
            <w:tcBorders>
              <w:top w:val="single" w:color="auto" w:sz="4" w:space="0"/>
              <w:left w:val="single" w:color="auto" w:sz="4" w:space="0"/>
              <w:bottom w:val="single" w:color="auto" w:sz="4" w:space="0"/>
              <w:right w:val="single" w:color="auto" w:sz="4" w:space="0"/>
            </w:tcBorders>
            <w:vAlign w:val="center"/>
          </w:tcPr>
          <w:p w14:paraId="28E5423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分值构成</w:t>
            </w:r>
          </w:p>
          <w:p w14:paraId="4732C56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(总分100分)</w:t>
            </w:r>
          </w:p>
        </w:tc>
        <w:tc>
          <w:tcPr>
            <w:tcW w:w="4536" w:type="dxa"/>
            <w:tcBorders>
              <w:top w:val="single" w:color="auto" w:sz="4" w:space="0"/>
              <w:left w:val="single" w:color="auto" w:sz="4" w:space="0"/>
              <w:bottom w:val="single" w:color="auto" w:sz="4" w:space="0"/>
              <w:right w:val="single" w:color="auto" w:sz="4" w:space="0"/>
            </w:tcBorders>
            <w:vAlign w:val="center"/>
          </w:tcPr>
          <w:p w14:paraId="24B21BA8">
            <w:pPr>
              <w:adjustRightInd w:val="0"/>
              <w:snapToGrid w:val="0"/>
              <w:rPr>
                <w:rFonts w:hint="eastAsia" w:ascii="仿宋" w:hAnsi="仿宋" w:eastAsia="仿宋" w:cs="仿宋"/>
                <w:sz w:val="24"/>
                <w:szCs w:val="24"/>
              </w:rPr>
            </w:pPr>
            <w:r>
              <w:rPr>
                <w:rFonts w:hint="eastAsia" w:ascii="仿宋" w:hAnsi="仿宋" w:eastAsia="仿宋" w:cs="仿宋"/>
                <w:sz w:val="24"/>
                <w:szCs w:val="24"/>
              </w:rPr>
              <w:t>（1）商务部分：</w:t>
            </w:r>
            <w:r>
              <w:rPr>
                <w:rFonts w:hint="eastAsia" w:ascii="仿宋" w:hAnsi="仿宋" w:eastAsia="仿宋" w:cs="仿宋"/>
                <w:sz w:val="24"/>
                <w:szCs w:val="24"/>
                <w:u w:val="single"/>
                <w:lang w:val="en-US" w:eastAsia="zh-CN"/>
              </w:rPr>
              <w:t>40</w:t>
            </w:r>
            <w:r>
              <w:rPr>
                <w:rFonts w:hint="eastAsia" w:ascii="仿宋" w:hAnsi="仿宋" w:eastAsia="仿宋" w:cs="仿宋"/>
                <w:sz w:val="24"/>
                <w:szCs w:val="24"/>
              </w:rPr>
              <w:t>分</w:t>
            </w:r>
          </w:p>
          <w:p w14:paraId="2579A62E">
            <w:pPr>
              <w:adjustRightInd w:val="0"/>
              <w:snapToGrid w:val="0"/>
              <w:rPr>
                <w:rFonts w:hint="eastAsia" w:ascii="仿宋" w:hAnsi="仿宋" w:eastAsia="仿宋" w:cs="仿宋"/>
                <w:sz w:val="24"/>
                <w:szCs w:val="24"/>
              </w:rPr>
            </w:pPr>
            <w:r>
              <w:rPr>
                <w:rFonts w:hint="eastAsia" w:ascii="仿宋" w:hAnsi="仿宋" w:eastAsia="仿宋" w:cs="仿宋"/>
                <w:sz w:val="24"/>
                <w:szCs w:val="24"/>
              </w:rPr>
              <w:t>（2）技术部分：</w:t>
            </w:r>
            <w:r>
              <w:rPr>
                <w:rFonts w:hint="eastAsia" w:ascii="仿宋" w:hAnsi="仿宋" w:eastAsia="仿宋" w:cs="仿宋"/>
                <w:sz w:val="24"/>
                <w:szCs w:val="24"/>
                <w:u w:val="single"/>
                <w:lang w:val="en-US" w:eastAsia="zh-CN"/>
              </w:rPr>
              <w:t>50</w:t>
            </w:r>
            <w:r>
              <w:rPr>
                <w:rFonts w:hint="eastAsia" w:ascii="仿宋" w:hAnsi="仿宋" w:eastAsia="仿宋" w:cs="仿宋"/>
                <w:sz w:val="24"/>
                <w:szCs w:val="24"/>
              </w:rPr>
              <w:t>分</w:t>
            </w:r>
          </w:p>
          <w:p w14:paraId="03F17FCB">
            <w:pPr>
              <w:adjustRightInd w:val="0"/>
              <w:snapToGrid w:val="0"/>
              <w:rPr>
                <w:rFonts w:hint="eastAsia" w:ascii="仿宋" w:hAnsi="仿宋" w:eastAsia="仿宋" w:cs="仿宋"/>
                <w:sz w:val="24"/>
                <w:szCs w:val="24"/>
              </w:rPr>
            </w:pPr>
            <w:r>
              <w:rPr>
                <w:rFonts w:hint="eastAsia" w:ascii="仿宋" w:hAnsi="仿宋" w:eastAsia="仿宋" w:cs="仿宋"/>
                <w:sz w:val="24"/>
                <w:szCs w:val="24"/>
              </w:rPr>
              <w:t>（3）报价：</w:t>
            </w:r>
            <w:r>
              <w:rPr>
                <w:rFonts w:hint="eastAsia" w:ascii="仿宋" w:hAnsi="仿宋" w:eastAsia="仿宋" w:cs="仿宋"/>
                <w:sz w:val="24"/>
                <w:szCs w:val="24"/>
                <w:u w:val="single"/>
                <w:lang w:val="en-US" w:eastAsia="zh-CN"/>
              </w:rPr>
              <w:t>10</w:t>
            </w:r>
            <w:r>
              <w:rPr>
                <w:rFonts w:hint="eastAsia" w:ascii="仿宋" w:hAnsi="仿宋" w:eastAsia="仿宋" w:cs="仿宋"/>
                <w:sz w:val="24"/>
                <w:szCs w:val="24"/>
              </w:rPr>
              <w:t>分</w:t>
            </w:r>
          </w:p>
          <w:p w14:paraId="5569019F">
            <w:pPr>
              <w:adjustRightInd w:val="0"/>
              <w:snapToGrid w:val="0"/>
              <w:rPr>
                <w:rFonts w:hint="eastAsia" w:ascii="仿宋" w:hAnsi="仿宋" w:eastAsia="仿宋" w:cs="仿宋"/>
                <w:sz w:val="24"/>
                <w:szCs w:val="24"/>
              </w:rPr>
            </w:pPr>
            <w:r>
              <w:rPr>
                <w:rFonts w:hint="eastAsia" w:ascii="仿宋" w:hAnsi="仿宋" w:eastAsia="仿宋" w:cs="仿宋"/>
                <w:sz w:val="24"/>
                <w:szCs w:val="24"/>
              </w:rPr>
              <w:t>（4）其他评分因素：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分（如有）</w:t>
            </w:r>
          </w:p>
        </w:tc>
      </w:tr>
      <w:tr w14:paraId="5FE60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94" w:type="dxa"/>
            <w:gridSpan w:val="2"/>
            <w:tcBorders>
              <w:top w:val="single" w:color="auto" w:sz="4" w:space="0"/>
              <w:bottom w:val="single" w:color="auto" w:sz="4" w:space="0"/>
              <w:right w:val="single" w:color="auto" w:sz="4" w:space="0"/>
            </w:tcBorders>
            <w:vAlign w:val="center"/>
          </w:tcPr>
          <w:p w14:paraId="255B6C0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2（2）</w:t>
            </w:r>
          </w:p>
        </w:tc>
        <w:tc>
          <w:tcPr>
            <w:tcW w:w="2317" w:type="dxa"/>
            <w:tcBorders>
              <w:top w:val="single" w:color="auto" w:sz="4" w:space="0"/>
              <w:left w:val="single" w:color="auto" w:sz="4" w:space="0"/>
              <w:bottom w:val="single" w:color="auto" w:sz="4" w:space="0"/>
              <w:right w:val="single" w:color="auto" w:sz="4" w:space="0"/>
            </w:tcBorders>
            <w:vAlign w:val="center"/>
          </w:tcPr>
          <w:p w14:paraId="3EAEA39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评审基准价计算方法</w:t>
            </w:r>
          </w:p>
        </w:tc>
        <w:tc>
          <w:tcPr>
            <w:tcW w:w="4536" w:type="dxa"/>
            <w:tcBorders>
              <w:top w:val="single" w:color="auto" w:sz="4" w:space="0"/>
              <w:left w:val="single" w:color="auto" w:sz="4" w:space="0"/>
              <w:bottom w:val="single" w:color="auto" w:sz="4" w:space="0"/>
              <w:right w:val="single" w:color="auto" w:sz="4" w:space="0"/>
            </w:tcBorders>
            <w:vAlign w:val="center"/>
          </w:tcPr>
          <w:p w14:paraId="7CFAC149">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□方法一</w:t>
            </w:r>
          </w:p>
          <w:p w14:paraId="0CF6E1C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□方法二：评审基准价系数=</w:t>
            </w:r>
            <w:r>
              <w:rPr>
                <w:rFonts w:hint="eastAsia" w:ascii="仿宋" w:hAnsi="仿宋" w:eastAsia="仿宋" w:cs="仿宋"/>
                <w:sz w:val="24"/>
                <w:szCs w:val="24"/>
                <w:u w:val="single"/>
              </w:rPr>
              <w:t xml:space="preserve">     </w:t>
            </w:r>
          </w:p>
          <w:p w14:paraId="433F551E">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方法三</w:t>
            </w:r>
            <w:r>
              <w:rPr>
                <w:rFonts w:hint="eastAsia" w:ascii="仿宋" w:hAnsi="仿宋" w:eastAsia="仿宋" w:cs="仿宋"/>
                <w:sz w:val="24"/>
                <w:szCs w:val="24"/>
                <w:lang w:eastAsia="zh-CN"/>
              </w:rPr>
              <w:t>，评审基准价=通过初步评审的所有供应商的最低评审价格。</w:t>
            </w:r>
          </w:p>
          <w:p w14:paraId="7489EB2D">
            <w:pPr>
              <w:adjustRightInd w:val="0"/>
              <w:snapToGrid w:val="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方法四，具体方法为：</w:t>
            </w:r>
            <w:r>
              <w:rPr>
                <w:rFonts w:hint="eastAsia" w:ascii="仿宋" w:hAnsi="仿宋" w:eastAsia="仿宋" w:cs="仿宋"/>
                <w:sz w:val="24"/>
                <w:szCs w:val="24"/>
                <w:lang w:val="en-US" w:eastAsia="zh-CN"/>
              </w:rPr>
              <w:t xml:space="preserve">  </w:t>
            </w:r>
          </w:p>
        </w:tc>
      </w:tr>
      <w:tr w14:paraId="1131A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94" w:type="dxa"/>
            <w:gridSpan w:val="2"/>
            <w:tcBorders>
              <w:top w:val="nil"/>
              <w:bottom w:val="single" w:color="auto" w:sz="4" w:space="0"/>
              <w:right w:val="single" w:color="auto" w:sz="4" w:space="0"/>
            </w:tcBorders>
            <w:vAlign w:val="center"/>
          </w:tcPr>
          <w:p w14:paraId="55A148A2">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条款号及名称</w:t>
            </w:r>
          </w:p>
        </w:tc>
        <w:tc>
          <w:tcPr>
            <w:tcW w:w="2317" w:type="dxa"/>
            <w:tcBorders>
              <w:top w:val="single" w:color="auto" w:sz="4" w:space="0"/>
              <w:left w:val="single" w:color="auto" w:sz="4" w:space="0"/>
              <w:bottom w:val="single" w:color="auto" w:sz="4" w:space="0"/>
              <w:right w:val="single" w:color="auto" w:sz="4" w:space="0"/>
            </w:tcBorders>
            <w:vAlign w:val="center"/>
          </w:tcPr>
          <w:p w14:paraId="2468EC9F">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评分因素</w:t>
            </w:r>
          </w:p>
        </w:tc>
        <w:tc>
          <w:tcPr>
            <w:tcW w:w="4536" w:type="dxa"/>
            <w:tcBorders>
              <w:top w:val="single" w:color="auto" w:sz="4" w:space="0"/>
              <w:left w:val="single" w:color="auto" w:sz="4" w:space="0"/>
              <w:bottom w:val="single" w:color="auto" w:sz="4" w:space="0"/>
              <w:right w:val="single" w:color="auto" w:sz="4" w:space="0"/>
            </w:tcBorders>
            <w:vAlign w:val="center"/>
          </w:tcPr>
          <w:p w14:paraId="64D7F814">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评分标准</w:t>
            </w:r>
          </w:p>
        </w:tc>
      </w:tr>
      <w:tr w14:paraId="54F63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restart"/>
            <w:tcBorders>
              <w:right w:val="single" w:color="auto" w:sz="4" w:space="0"/>
            </w:tcBorders>
            <w:vAlign w:val="center"/>
          </w:tcPr>
          <w:p w14:paraId="243F00C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3（1）</w:t>
            </w:r>
          </w:p>
        </w:tc>
        <w:tc>
          <w:tcPr>
            <w:tcW w:w="1085" w:type="dxa"/>
            <w:vMerge w:val="restart"/>
            <w:tcBorders>
              <w:right w:val="single" w:color="auto" w:sz="4" w:space="0"/>
            </w:tcBorders>
            <w:vAlign w:val="center"/>
          </w:tcPr>
          <w:p w14:paraId="6677427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商务评分标准</w:t>
            </w:r>
          </w:p>
        </w:tc>
        <w:tc>
          <w:tcPr>
            <w:tcW w:w="2317" w:type="dxa"/>
            <w:tcBorders>
              <w:top w:val="single" w:color="auto" w:sz="4" w:space="0"/>
              <w:left w:val="single" w:color="auto" w:sz="4" w:space="0"/>
              <w:right w:val="single" w:color="auto" w:sz="4" w:space="0"/>
            </w:tcBorders>
            <w:vAlign w:val="center"/>
          </w:tcPr>
          <w:p w14:paraId="0FDFDAD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类似业绩</w:t>
            </w:r>
          </w:p>
          <w:p w14:paraId="0515B857">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4536" w:type="dxa"/>
            <w:tcBorders>
              <w:top w:val="single" w:color="auto" w:sz="4" w:space="0"/>
              <w:left w:val="single" w:color="auto" w:sz="4" w:space="0"/>
              <w:right w:val="single" w:color="auto" w:sz="4" w:space="0"/>
            </w:tcBorders>
            <w:vAlign w:val="center"/>
          </w:tcPr>
          <w:p w14:paraId="1DA707DD">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供应商自202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年1月1日（以合同签订时间为准）以来，每提供一份企业的年度财务报表审计服务业绩，得</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分，本项满分</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分。</w:t>
            </w:r>
          </w:p>
          <w:p w14:paraId="2DB39472">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注：须提供合同协议书扫描件及其他有效证明材料，如上述材料无法体现评审内容，可提供业主盖章的证明材料。</w:t>
            </w:r>
          </w:p>
        </w:tc>
      </w:tr>
      <w:tr w14:paraId="28327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right w:val="single" w:color="auto" w:sz="4" w:space="0"/>
            </w:tcBorders>
            <w:vAlign w:val="center"/>
          </w:tcPr>
          <w:p w14:paraId="4BA7E083">
            <w:pPr>
              <w:adjustRightInd w:val="0"/>
              <w:snapToGrid w:val="0"/>
              <w:jc w:val="center"/>
              <w:rPr>
                <w:rFonts w:hint="eastAsia" w:ascii="仿宋" w:hAnsi="仿宋" w:eastAsia="仿宋" w:cs="仿宋"/>
                <w:sz w:val="24"/>
                <w:szCs w:val="24"/>
              </w:rPr>
            </w:pPr>
          </w:p>
        </w:tc>
        <w:tc>
          <w:tcPr>
            <w:tcW w:w="1085" w:type="dxa"/>
            <w:vMerge w:val="continue"/>
            <w:tcBorders>
              <w:right w:val="single" w:color="auto" w:sz="4" w:space="0"/>
            </w:tcBorders>
            <w:vAlign w:val="center"/>
          </w:tcPr>
          <w:p w14:paraId="69FBD753">
            <w:pPr>
              <w:adjustRightInd w:val="0"/>
              <w:snapToGrid w:val="0"/>
              <w:jc w:val="center"/>
              <w:rPr>
                <w:rFonts w:hint="eastAsia" w:ascii="仿宋" w:hAnsi="仿宋" w:eastAsia="仿宋" w:cs="仿宋"/>
                <w:sz w:val="24"/>
                <w:szCs w:val="24"/>
              </w:rPr>
            </w:pPr>
          </w:p>
        </w:tc>
        <w:tc>
          <w:tcPr>
            <w:tcW w:w="2317" w:type="dxa"/>
            <w:tcBorders>
              <w:top w:val="single" w:color="auto" w:sz="4" w:space="0"/>
              <w:left w:val="single" w:color="auto" w:sz="4" w:space="0"/>
              <w:right w:val="single" w:color="auto" w:sz="4" w:space="0"/>
            </w:tcBorders>
            <w:vAlign w:val="center"/>
          </w:tcPr>
          <w:p w14:paraId="4DDF05F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惩戒情况</w:t>
            </w:r>
          </w:p>
          <w:p w14:paraId="3796B6C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（10分）</w:t>
            </w:r>
          </w:p>
        </w:tc>
        <w:tc>
          <w:tcPr>
            <w:tcW w:w="4536" w:type="dxa"/>
            <w:tcBorders>
              <w:top w:val="single" w:color="auto" w:sz="4" w:space="0"/>
              <w:left w:val="single" w:color="auto" w:sz="4" w:space="0"/>
              <w:right w:val="single" w:color="auto" w:sz="4" w:space="0"/>
            </w:tcBorders>
            <w:vAlign w:val="center"/>
          </w:tcPr>
          <w:p w14:paraId="2A901D40">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供应商</w:t>
            </w:r>
            <w:r>
              <w:rPr>
                <w:rFonts w:hint="eastAsia" w:ascii="仿宋" w:hAnsi="仿宋" w:eastAsia="仿宋" w:cs="仿宋"/>
                <w:sz w:val="24"/>
                <w:szCs w:val="24"/>
                <w:lang w:eastAsia="zh-CN"/>
              </w:rPr>
              <w:t>及其分支机构自202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年1月1日至</w:t>
            </w:r>
            <w:r>
              <w:rPr>
                <w:rFonts w:hint="eastAsia" w:ascii="仿宋" w:hAnsi="仿宋" w:eastAsia="仿宋" w:cs="仿宋"/>
                <w:sz w:val="24"/>
                <w:szCs w:val="24"/>
                <w:lang w:val="en-US" w:eastAsia="zh-CN"/>
              </w:rPr>
              <w:t>询比</w:t>
            </w:r>
            <w:r>
              <w:rPr>
                <w:rFonts w:hint="eastAsia" w:ascii="仿宋" w:hAnsi="仿宋" w:eastAsia="仿宋" w:cs="仿宋"/>
                <w:sz w:val="24"/>
                <w:szCs w:val="24"/>
                <w:lang w:eastAsia="zh-CN"/>
              </w:rPr>
              <w:t>截止时间，未受到财政部及其派出机构给与的行政处罚的，得10分；发生一次</w:t>
            </w:r>
            <w:r>
              <w:rPr>
                <w:rFonts w:hint="eastAsia" w:ascii="仿宋" w:hAnsi="仿宋" w:eastAsia="仿宋" w:cs="仿宋"/>
                <w:b/>
                <w:bCs/>
                <w:sz w:val="24"/>
                <w:szCs w:val="24"/>
                <w:lang w:eastAsia="zh-CN"/>
              </w:rPr>
              <w:t>行政处罚</w:t>
            </w:r>
            <w:r>
              <w:rPr>
                <w:rFonts w:hint="eastAsia" w:ascii="仿宋" w:hAnsi="仿宋" w:eastAsia="仿宋" w:cs="仿宋"/>
                <w:sz w:val="24"/>
                <w:szCs w:val="24"/>
                <w:lang w:eastAsia="zh-CN"/>
              </w:rPr>
              <w:t>的，得7分；发生二次行政处罚的，得2分，其他情况不得分。</w:t>
            </w:r>
          </w:p>
          <w:p w14:paraId="7BC68F85">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注：由</w:t>
            </w:r>
            <w:r>
              <w:rPr>
                <w:rFonts w:hint="eastAsia" w:ascii="仿宋" w:hAnsi="仿宋" w:eastAsia="仿宋" w:cs="仿宋"/>
                <w:sz w:val="24"/>
                <w:szCs w:val="24"/>
                <w:lang w:val="en-US" w:eastAsia="zh-CN"/>
              </w:rPr>
              <w:t>供应商</w:t>
            </w:r>
            <w:r>
              <w:rPr>
                <w:rFonts w:hint="eastAsia" w:ascii="仿宋" w:hAnsi="仿宋" w:eastAsia="仿宋" w:cs="仿宋"/>
                <w:sz w:val="24"/>
                <w:szCs w:val="24"/>
                <w:lang w:eastAsia="zh-CN"/>
              </w:rPr>
              <w:t>提供中国注册会计师协会-行业管理信息系统栏目的查询截图并承诺查询结果真实、完整，不完整的须进行补充说明。如为虚假承诺，</w:t>
            </w:r>
            <w:r>
              <w:rPr>
                <w:rFonts w:hint="eastAsia" w:ascii="仿宋" w:hAnsi="仿宋" w:eastAsia="仿宋" w:cs="仿宋"/>
                <w:sz w:val="24"/>
                <w:szCs w:val="24"/>
                <w:lang w:val="en-US" w:eastAsia="zh-CN"/>
              </w:rPr>
              <w:t>采购人</w:t>
            </w:r>
            <w:r>
              <w:rPr>
                <w:rFonts w:hint="eastAsia" w:ascii="仿宋" w:hAnsi="仿宋" w:eastAsia="仿宋" w:cs="仿宋"/>
                <w:sz w:val="24"/>
                <w:szCs w:val="24"/>
                <w:lang w:eastAsia="zh-CN"/>
              </w:rPr>
              <w:t>有权取消其</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资格并</w:t>
            </w:r>
            <w:r>
              <w:rPr>
                <w:rFonts w:hint="eastAsia" w:ascii="仿宋" w:hAnsi="仿宋" w:eastAsia="仿宋" w:cs="仿宋"/>
                <w:sz w:val="24"/>
                <w:szCs w:val="24"/>
                <w:lang w:val="en-US" w:eastAsia="zh-CN"/>
              </w:rPr>
              <w:t>要求其承担损失</w:t>
            </w:r>
            <w:r>
              <w:rPr>
                <w:rFonts w:hint="eastAsia" w:ascii="仿宋" w:hAnsi="仿宋" w:eastAsia="仿宋" w:cs="仿宋"/>
                <w:sz w:val="24"/>
                <w:szCs w:val="24"/>
                <w:lang w:eastAsia="zh-CN"/>
              </w:rPr>
              <w:t>。</w:t>
            </w:r>
          </w:p>
        </w:tc>
      </w:tr>
      <w:tr w14:paraId="0D69A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right w:val="single" w:color="auto" w:sz="4" w:space="0"/>
            </w:tcBorders>
            <w:vAlign w:val="center"/>
          </w:tcPr>
          <w:p w14:paraId="5B9CF64F">
            <w:pPr>
              <w:adjustRightInd w:val="0"/>
              <w:snapToGrid w:val="0"/>
              <w:jc w:val="center"/>
              <w:rPr>
                <w:rFonts w:hint="eastAsia" w:ascii="仿宋" w:hAnsi="仿宋" w:eastAsia="仿宋" w:cs="仿宋"/>
                <w:sz w:val="24"/>
                <w:szCs w:val="24"/>
              </w:rPr>
            </w:pPr>
          </w:p>
        </w:tc>
        <w:tc>
          <w:tcPr>
            <w:tcW w:w="1085" w:type="dxa"/>
            <w:vMerge w:val="continue"/>
            <w:tcBorders>
              <w:right w:val="single" w:color="auto" w:sz="4" w:space="0"/>
            </w:tcBorders>
            <w:vAlign w:val="center"/>
          </w:tcPr>
          <w:p w14:paraId="090DAD38">
            <w:pPr>
              <w:adjustRightInd w:val="0"/>
              <w:snapToGrid w:val="0"/>
              <w:jc w:val="center"/>
              <w:rPr>
                <w:rFonts w:hint="eastAsia" w:ascii="仿宋" w:hAnsi="仿宋" w:eastAsia="仿宋" w:cs="仿宋"/>
                <w:sz w:val="24"/>
                <w:szCs w:val="24"/>
              </w:rPr>
            </w:pPr>
          </w:p>
        </w:tc>
        <w:tc>
          <w:tcPr>
            <w:tcW w:w="2317" w:type="dxa"/>
            <w:tcBorders>
              <w:top w:val="single" w:color="auto" w:sz="4" w:space="0"/>
              <w:left w:val="single" w:color="auto" w:sz="4" w:space="0"/>
              <w:right w:val="single" w:color="auto" w:sz="4" w:space="0"/>
            </w:tcBorders>
            <w:shd w:val="clear" w:color="auto" w:fill="auto"/>
            <w:vAlign w:val="center"/>
          </w:tcPr>
          <w:p w14:paraId="1D1D50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pacing w:val="7"/>
                <w:kern w:val="2"/>
                <w:sz w:val="24"/>
                <w:szCs w:val="24"/>
                <w:lang w:val="en-US" w:eastAsia="zh-CN" w:bidi="ar-SA"/>
              </w:rPr>
            </w:pPr>
            <w:r>
              <w:rPr>
                <w:rFonts w:hint="eastAsia" w:ascii="仿宋" w:hAnsi="仿宋" w:eastAsia="仿宋" w:cs="仿宋"/>
                <w:kern w:val="0"/>
                <w:sz w:val="24"/>
                <w:szCs w:val="24"/>
              </w:rPr>
              <w:t>人员配备</w:t>
            </w:r>
            <w:r>
              <w:rPr>
                <w:rFonts w:hint="eastAsia" w:ascii="仿宋" w:hAnsi="仿宋" w:eastAsia="仿宋" w:cs="仿宋"/>
                <w:bCs/>
                <w:sz w:val="24"/>
                <w:szCs w:val="24"/>
              </w:rPr>
              <w:t>（10分）</w:t>
            </w:r>
          </w:p>
        </w:tc>
        <w:tc>
          <w:tcPr>
            <w:tcW w:w="4536" w:type="dxa"/>
            <w:tcBorders>
              <w:top w:val="single" w:color="auto" w:sz="4" w:space="0"/>
              <w:left w:val="single" w:color="auto" w:sz="4" w:space="0"/>
              <w:right w:val="single" w:color="auto" w:sz="4" w:space="0"/>
            </w:tcBorders>
            <w:shd w:val="clear" w:color="auto" w:fill="auto"/>
            <w:vAlign w:val="top"/>
          </w:tcPr>
          <w:p w14:paraId="7F2E53D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1、拟派项目负责人自202</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年1月1日以来（以合同签订时间为准），具有作为项目负责人提供</w:t>
            </w:r>
            <w:r>
              <w:rPr>
                <w:rFonts w:hint="eastAsia" w:ascii="仿宋" w:hAnsi="仿宋" w:eastAsia="仿宋" w:cs="仿宋"/>
                <w:sz w:val="24"/>
                <w:szCs w:val="24"/>
              </w:rPr>
              <w:t>企业的年度</w:t>
            </w:r>
            <w:r>
              <w:rPr>
                <w:rFonts w:hint="eastAsia" w:ascii="仿宋" w:hAnsi="仿宋" w:eastAsia="仿宋" w:cs="仿宋"/>
                <w:color w:val="000000"/>
                <w:sz w:val="24"/>
                <w:szCs w:val="24"/>
              </w:rPr>
              <w:t>财务报表审计服务业绩</w:t>
            </w:r>
            <w:r>
              <w:rPr>
                <w:rFonts w:hint="eastAsia" w:ascii="仿宋" w:hAnsi="仿宋" w:eastAsia="仿宋" w:cs="仿宋"/>
                <w:kern w:val="0"/>
                <w:sz w:val="24"/>
                <w:szCs w:val="24"/>
              </w:rPr>
              <w:t>，每项业绩得2分，满分6分。</w:t>
            </w:r>
          </w:p>
          <w:p w14:paraId="300E9E4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kern w:val="0"/>
                <w:sz w:val="24"/>
                <w:szCs w:val="24"/>
              </w:rPr>
            </w:pPr>
            <w:r>
              <w:rPr>
                <w:rFonts w:hint="eastAsia" w:ascii="仿宋" w:hAnsi="仿宋" w:eastAsia="仿宋" w:cs="仿宋"/>
                <w:b/>
                <w:kern w:val="0"/>
                <w:sz w:val="24"/>
                <w:szCs w:val="24"/>
              </w:rPr>
              <w:t>注：须同时提供：①业绩合同扫描件；②合同委托内容对应的审计报告签字盖章页；若合同和审计报告均无法体现合同签订时间、项目类型、项目负责人姓名等评审内容时，需提供合同甲方出具的相关证明材料加以明确说明。</w:t>
            </w:r>
          </w:p>
          <w:p w14:paraId="0918F7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2、拟投入的审计服务团队</w:t>
            </w:r>
            <w:r>
              <w:rPr>
                <w:rFonts w:hint="eastAsia" w:ascii="仿宋" w:hAnsi="仿宋" w:eastAsia="仿宋" w:cs="仿宋"/>
                <w:kern w:val="0"/>
                <w:sz w:val="24"/>
                <w:szCs w:val="24"/>
                <w:lang w:val="en-US" w:eastAsia="zh-CN"/>
              </w:rPr>
              <w:t>中</w:t>
            </w:r>
            <w:r>
              <w:rPr>
                <w:rFonts w:hint="eastAsia" w:ascii="仿宋" w:hAnsi="仿宋" w:eastAsia="仿宋" w:cs="仿宋"/>
                <w:kern w:val="0"/>
                <w:sz w:val="24"/>
                <w:szCs w:val="24"/>
              </w:rPr>
              <w:t>每增加配备1 注册会计师得2 分，最高得4 分。</w:t>
            </w:r>
          </w:p>
          <w:p w14:paraId="1B11386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b/>
                <w:kern w:val="0"/>
                <w:sz w:val="24"/>
                <w:szCs w:val="24"/>
              </w:rPr>
              <w:t>注：</w:t>
            </w:r>
            <w:r>
              <w:rPr>
                <w:rFonts w:hint="eastAsia" w:ascii="仿宋" w:hAnsi="仿宋" w:eastAsia="仿宋" w:cs="仿宋"/>
                <w:b/>
                <w:kern w:val="0"/>
                <w:sz w:val="24"/>
                <w:szCs w:val="24"/>
                <w:lang w:val="en-US" w:eastAsia="zh-CN"/>
              </w:rPr>
              <w:t>响应</w:t>
            </w:r>
            <w:r>
              <w:rPr>
                <w:rFonts w:hint="eastAsia" w:ascii="仿宋" w:hAnsi="仿宋" w:eastAsia="仿宋" w:cs="仿宋"/>
                <w:b/>
                <w:kern w:val="0"/>
                <w:sz w:val="24"/>
                <w:szCs w:val="24"/>
              </w:rPr>
              <w:t>文件中须提供：①项目人员的身份证扫描件，有效资格证书扫描件。②</w:t>
            </w:r>
            <w:r>
              <w:rPr>
                <w:rFonts w:hint="eastAsia" w:ascii="仿宋" w:hAnsi="仿宋" w:eastAsia="仿宋" w:cs="仿宋"/>
                <w:b/>
                <w:kern w:val="0"/>
                <w:sz w:val="24"/>
                <w:szCs w:val="24"/>
                <w:lang w:eastAsia="zh-CN"/>
              </w:rPr>
              <w:t>供应商</w:t>
            </w:r>
            <w:r>
              <w:rPr>
                <w:rFonts w:hint="eastAsia" w:ascii="仿宋" w:hAnsi="仿宋" w:eastAsia="仿宋" w:cs="仿宋"/>
                <w:b/>
                <w:kern w:val="0"/>
                <w:sz w:val="24"/>
                <w:szCs w:val="24"/>
              </w:rPr>
              <w:t>为拟派驻的项目负责人和审计团队人员缴纳的2024年</w:t>
            </w:r>
            <w:r>
              <w:rPr>
                <w:rFonts w:hint="eastAsia" w:ascii="仿宋" w:hAnsi="仿宋" w:eastAsia="仿宋" w:cs="仿宋"/>
                <w:b/>
                <w:kern w:val="0"/>
                <w:sz w:val="24"/>
                <w:szCs w:val="24"/>
                <w:lang w:val="en-US" w:eastAsia="zh-CN"/>
              </w:rPr>
              <w:t>9</w:t>
            </w:r>
            <w:r>
              <w:rPr>
                <w:rFonts w:hint="eastAsia" w:ascii="仿宋" w:hAnsi="仿宋" w:eastAsia="仿宋" w:cs="仿宋"/>
                <w:b/>
                <w:kern w:val="0"/>
                <w:sz w:val="24"/>
                <w:szCs w:val="24"/>
              </w:rPr>
              <w:t>月以来任意连续三个月的社保缴纳证明。</w:t>
            </w:r>
          </w:p>
        </w:tc>
      </w:tr>
      <w:tr w14:paraId="14BAB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restart"/>
            <w:tcBorders>
              <w:right w:val="single" w:color="auto" w:sz="4" w:space="0"/>
            </w:tcBorders>
            <w:vAlign w:val="center"/>
          </w:tcPr>
          <w:p w14:paraId="06B5FD6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3（2）</w:t>
            </w:r>
          </w:p>
        </w:tc>
        <w:tc>
          <w:tcPr>
            <w:tcW w:w="1085" w:type="dxa"/>
            <w:vMerge w:val="restart"/>
            <w:tcBorders>
              <w:right w:val="single" w:color="auto" w:sz="4" w:space="0"/>
            </w:tcBorders>
            <w:vAlign w:val="center"/>
          </w:tcPr>
          <w:p w14:paraId="7EDE4EB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技术评分标准</w:t>
            </w:r>
          </w:p>
        </w:tc>
        <w:tc>
          <w:tcPr>
            <w:tcW w:w="2317" w:type="dxa"/>
            <w:tcBorders>
              <w:top w:val="single" w:color="auto" w:sz="4" w:space="0"/>
              <w:left w:val="single" w:color="auto" w:sz="4" w:space="0"/>
              <w:bottom w:val="single" w:color="auto" w:sz="4" w:space="0"/>
              <w:right w:val="single" w:color="auto" w:sz="4" w:space="0"/>
            </w:tcBorders>
            <w:shd w:val="clear" w:color="auto" w:fill="auto"/>
            <w:vAlign w:val="center"/>
          </w:tcPr>
          <w:p w14:paraId="15654E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服务方案</w:t>
            </w:r>
          </w:p>
          <w:p w14:paraId="5BEBBA85">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（20分）</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46C1B3D6">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依据</w:t>
            </w:r>
            <w:r>
              <w:rPr>
                <w:rFonts w:hint="eastAsia" w:ascii="仿宋" w:hAnsi="仿宋" w:eastAsia="仿宋" w:cs="仿宋"/>
                <w:sz w:val="24"/>
                <w:szCs w:val="24"/>
                <w:lang w:val="en-US" w:eastAsia="zh-CN"/>
              </w:rPr>
              <w:t>供应商</w:t>
            </w:r>
            <w:r>
              <w:rPr>
                <w:rFonts w:hint="eastAsia" w:ascii="仿宋" w:hAnsi="仿宋" w:eastAsia="仿宋" w:cs="仿宋"/>
                <w:sz w:val="24"/>
                <w:szCs w:val="24"/>
              </w:rPr>
              <w:t>提供的服务方案，包括但不限于服务标准、服务质量承诺、服务计划、</w:t>
            </w:r>
            <w:r>
              <w:rPr>
                <w:rFonts w:hint="eastAsia" w:ascii="仿宋" w:hAnsi="仿宋" w:eastAsia="仿宋" w:cs="仿宋"/>
                <w:b/>
                <w:sz w:val="24"/>
                <w:szCs w:val="24"/>
              </w:rPr>
              <w:t>本地化服务能力、</w:t>
            </w:r>
            <w:r>
              <w:rPr>
                <w:rFonts w:hint="eastAsia" w:ascii="仿宋" w:hAnsi="仿宋" w:eastAsia="仿宋" w:cs="仿宋"/>
                <w:sz w:val="24"/>
                <w:szCs w:val="24"/>
              </w:rPr>
              <w:t>拟派服务团队等内容，依据服务方案的合理性、科学性、完善性，横向比较打分，满分20分，优秀15-20分，良好10-15分，一般5-10分，差或未提供不得分。</w:t>
            </w:r>
          </w:p>
        </w:tc>
      </w:tr>
      <w:tr w14:paraId="6F65A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right w:val="single" w:color="auto" w:sz="4" w:space="0"/>
            </w:tcBorders>
            <w:vAlign w:val="center"/>
          </w:tcPr>
          <w:p w14:paraId="60F458DA">
            <w:pPr>
              <w:adjustRightInd w:val="0"/>
              <w:snapToGrid w:val="0"/>
              <w:jc w:val="center"/>
              <w:rPr>
                <w:rFonts w:hint="eastAsia" w:ascii="仿宋" w:hAnsi="仿宋" w:eastAsia="仿宋" w:cs="仿宋"/>
                <w:sz w:val="24"/>
                <w:szCs w:val="24"/>
              </w:rPr>
            </w:pPr>
          </w:p>
        </w:tc>
        <w:tc>
          <w:tcPr>
            <w:tcW w:w="1085" w:type="dxa"/>
            <w:vMerge w:val="continue"/>
            <w:tcBorders>
              <w:right w:val="single" w:color="auto" w:sz="4" w:space="0"/>
            </w:tcBorders>
            <w:vAlign w:val="center"/>
          </w:tcPr>
          <w:p w14:paraId="581B04C3">
            <w:pPr>
              <w:adjustRightInd w:val="0"/>
              <w:snapToGrid w:val="0"/>
              <w:jc w:val="center"/>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shd w:val="clear" w:color="auto" w:fill="auto"/>
            <w:vAlign w:val="center"/>
          </w:tcPr>
          <w:p w14:paraId="5D3073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质量控制方案</w:t>
            </w:r>
          </w:p>
          <w:p w14:paraId="68BFDDE8">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（15分）</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446FD4B6">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根据</w:t>
            </w:r>
            <w:r>
              <w:rPr>
                <w:rFonts w:hint="eastAsia" w:ascii="仿宋" w:hAnsi="仿宋" w:eastAsia="仿宋" w:cs="仿宋"/>
                <w:sz w:val="24"/>
                <w:szCs w:val="24"/>
                <w:lang w:val="en-US" w:eastAsia="zh-CN"/>
              </w:rPr>
              <w:t>供应商</w:t>
            </w:r>
            <w:r>
              <w:rPr>
                <w:rFonts w:hint="eastAsia" w:ascii="仿宋" w:hAnsi="仿宋" w:eastAsia="仿宋" w:cs="仿宋"/>
                <w:sz w:val="24"/>
                <w:szCs w:val="24"/>
              </w:rPr>
              <w:t>提供的质量控制方案，从质量控制体系的健全性、质量控制制度的完善性、质量控制人员的独立性、质量复核和监督的统一性等方面，横向比较打分，满分15分，优秀10-15分，良好5-10分，一般0-5分，未提供不得分。</w:t>
            </w:r>
          </w:p>
        </w:tc>
      </w:tr>
      <w:tr w14:paraId="37203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vMerge w:val="continue"/>
            <w:tcBorders>
              <w:right w:val="single" w:color="auto" w:sz="4" w:space="0"/>
            </w:tcBorders>
            <w:vAlign w:val="center"/>
          </w:tcPr>
          <w:p w14:paraId="3E2251FB">
            <w:pPr>
              <w:adjustRightInd w:val="0"/>
              <w:snapToGrid w:val="0"/>
              <w:jc w:val="center"/>
              <w:rPr>
                <w:rFonts w:hint="eastAsia" w:ascii="仿宋" w:hAnsi="仿宋" w:eastAsia="仿宋" w:cs="仿宋"/>
                <w:sz w:val="24"/>
                <w:szCs w:val="24"/>
              </w:rPr>
            </w:pPr>
          </w:p>
        </w:tc>
        <w:tc>
          <w:tcPr>
            <w:tcW w:w="1085" w:type="dxa"/>
            <w:vMerge w:val="continue"/>
            <w:tcBorders>
              <w:right w:val="single" w:color="auto" w:sz="4" w:space="0"/>
            </w:tcBorders>
            <w:vAlign w:val="center"/>
          </w:tcPr>
          <w:p w14:paraId="20EEF2EB">
            <w:pPr>
              <w:adjustRightInd w:val="0"/>
              <w:snapToGrid w:val="0"/>
              <w:jc w:val="center"/>
              <w:rPr>
                <w:rFonts w:hint="eastAsia" w:ascii="仿宋" w:hAnsi="仿宋" w:eastAsia="仿宋" w:cs="仿宋"/>
                <w:sz w:val="24"/>
                <w:szCs w:val="24"/>
              </w:rPr>
            </w:pPr>
          </w:p>
        </w:tc>
        <w:tc>
          <w:tcPr>
            <w:tcW w:w="2317" w:type="dxa"/>
            <w:tcBorders>
              <w:top w:val="single" w:color="auto" w:sz="4" w:space="0"/>
              <w:left w:val="single" w:color="auto" w:sz="4" w:space="0"/>
              <w:bottom w:val="single" w:color="auto" w:sz="4" w:space="0"/>
              <w:right w:val="single" w:color="auto" w:sz="4" w:space="0"/>
            </w:tcBorders>
            <w:shd w:val="clear" w:color="auto" w:fill="auto"/>
            <w:vAlign w:val="center"/>
          </w:tcPr>
          <w:p w14:paraId="6FB1BD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增值服务承诺</w:t>
            </w:r>
          </w:p>
          <w:p w14:paraId="20BFF918">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5分）</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18E4FD97">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依据</w:t>
            </w:r>
            <w:r>
              <w:rPr>
                <w:rFonts w:hint="eastAsia" w:ascii="仿宋" w:hAnsi="仿宋" w:eastAsia="仿宋" w:cs="仿宋"/>
                <w:sz w:val="24"/>
                <w:szCs w:val="24"/>
                <w:lang w:val="en-US" w:eastAsia="zh-CN"/>
              </w:rPr>
              <w:t>供应商</w:t>
            </w:r>
            <w:r>
              <w:rPr>
                <w:rFonts w:hint="eastAsia" w:ascii="仿宋" w:hAnsi="仿宋" w:eastAsia="仿宋" w:cs="仿宋"/>
                <w:sz w:val="24"/>
                <w:szCs w:val="24"/>
              </w:rPr>
              <w:t>提供的其他增值服务承诺情况，包括但不限于日常咨询、核算指导、税务规划、内控完善与建设等相关内容，横向比较打分，满分</w:t>
            </w:r>
            <w:r>
              <w:rPr>
                <w:rFonts w:hint="eastAsia" w:ascii="仿宋" w:hAnsi="仿宋" w:eastAsia="仿宋" w:cs="仿宋"/>
                <w:sz w:val="24"/>
                <w:szCs w:val="24"/>
                <w:lang w:val="en-US" w:eastAsia="zh-CN"/>
              </w:rPr>
              <w:t>1</w:t>
            </w:r>
            <w:r>
              <w:rPr>
                <w:rFonts w:hint="eastAsia" w:ascii="仿宋" w:hAnsi="仿宋" w:eastAsia="仿宋" w:cs="仿宋"/>
                <w:sz w:val="24"/>
                <w:szCs w:val="24"/>
              </w:rPr>
              <w:t>5分，优秀10-15分，良好5-10分，一般0-5分，未提供不得分。</w:t>
            </w:r>
          </w:p>
          <w:p w14:paraId="10E880E3">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注：提供承诺函并加盖公章，格式自拟。</w:t>
            </w:r>
          </w:p>
        </w:tc>
      </w:tr>
      <w:tr w14:paraId="475D0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D9FDA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3（3）</w:t>
            </w:r>
          </w:p>
        </w:tc>
        <w:tc>
          <w:tcPr>
            <w:tcW w:w="1085" w:type="dxa"/>
            <w:tcBorders>
              <w:top w:val="single" w:color="auto" w:sz="4" w:space="0"/>
              <w:left w:val="single" w:color="auto" w:sz="4" w:space="0"/>
              <w:bottom w:val="single" w:color="auto" w:sz="4" w:space="0"/>
              <w:right w:val="single" w:color="auto" w:sz="4" w:space="0"/>
            </w:tcBorders>
            <w:vAlign w:val="center"/>
          </w:tcPr>
          <w:p w14:paraId="0EFFFD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报价评分标准</w:t>
            </w:r>
          </w:p>
        </w:tc>
        <w:tc>
          <w:tcPr>
            <w:tcW w:w="6853" w:type="dxa"/>
            <w:gridSpan w:val="2"/>
            <w:tcBorders>
              <w:top w:val="single" w:color="auto" w:sz="4" w:space="0"/>
              <w:left w:val="single" w:color="auto" w:sz="4" w:space="0"/>
              <w:bottom w:val="single" w:color="auto" w:sz="4" w:space="0"/>
              <w:right w:val="single" w:color="auto" w:sz="4" w:space="0"/>
            </w:tcBorders>
            <w:vAlign w:val="center"/>
          </w:tcPr>
          <w:p w14:paraId="6BF677C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□方法一：E</w:t>
            </w:r>
            <w:r>
              <w:rPr>
                <w:rFonts w:hint="eastAsia" w:ascii="仿宋" w:hAnsi="仿宋" w:eastAsia="仿宋" w:cs="仿宋"/>
                <w:sz w:val="24"/>
                <w:szCs w:val="24"/>
                <w:vertAlign w:val="subscript"/>
              </w:rPr>
              <w:t>1</w:t>
            </w:r>
            <w:r>
              <w:rPr>
                <w:rFonts w:hint="eastAsia" w:ascii="仿宋" w:hAnsi="仿宋" w:eastAsia="仿宋" w:cs="仿宋"/>
                <w:sz w:val="24"/>
                <w:szCs w:val="24"/>
              </w:rPr>
              <w:t>=</w:t>
            </w:r>
            <w:r>
              <w:rPr>
                <w:rFonts w:hint="eastAsia" w:ascii="仿宋" w:hAnsi="仿宋" w:eastAsia="仿宋" w:cs="仿宋"/>
                <w:sz w:val="24"/>
                <w:szCs w:val="24"/>
                <w:u w:val="single"/>
                <w:vertAlign w:val="subscript"/>
              </w:rPr>
              <w:t xml:space="preserve">   </w:t>
            </w:r>
            <w:r>
              <w:rPr>
                <w:rFonts w:hint="eastAsia" w:ascii="仿宋" w:hAnsi="仿宋" w:eastAsia="仿宋" w:cs="仿宋"/>
                <w:sz w:val="24"/>
                <w:szCs w:val="24"/>
                <w:vertAlign w:val="subscript"/>
              </w:rPr>
              <w:t>，</w:t>
            </w:r>
            <w:r>
              <w:rPr>
                <w:rFonts w:hint="eastAsia" w:ascii="仿宋" w:hAnsi="仿宋" w:eastAsia="仿宋" w:cs="仿宋"/>
                <w:sz w:val="24"/>
                <w:szCs w:val="24"/>
              </w:rPr>
              <w:t>E</w:t>
            </w:r>
            <w:r>
              <w:rPr>
                <w:rFonts w:hint="eastAsia" w:ascii="仿宋" w:hAnsi="仿宋" w:eastAsia="仿宋" w:cs="仿宋"/>
                <w:sz w:val="24"/>
                <w:szCs w:val="24"/>
                <w:vertAlign w:val="subscript"/>
              </w:rPr>
              <w:t>2</w:t>
            </w:r>
            <w:r>
              <w:rPr>
                <w:rFonts w:hint="eastAsia" w:ascii="仿宋" w:hAnsi="仿宋" w:eastAsia="仿宋" w:cs="仿宋"/>
                <w:sz w:val="24"/>
                <w:szCs w:val="24"/>
              </w:rPr>
              <w:t>=</w:t>
            </w:r>
            <w:r>
              <w:rPr>
                <w:rFonts w:hint="eastAsia" w:ascii="仿宋" w:hAnsi="仿宋" w:eastAsia="仿宋" w:cs="仿宋"/>
                <w:sz w:val="24"/>
                <w:szCs w:val="24"/>
                <w:u w:val="single"/>
                <w:vertAlign w:val="subscript"/>
              </w:rPr>
              <w:t xml:space="preserve">    </w:t>
            </w:r>
          </w:p>
          <w:p w14:paraId="7F7C36BF">
            <w:pPr>
              <w:adjustRightInd w:val="0"/>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rPr>
              <w:t>方法二</w:t>
            </w:r>
            <w:r>
              <w:rPr>
                <w:rFonts w:hint="eastAsia" w:ascii="仿宋" w:hAnsi="仿宋" w:eastAsia="仿宋" w:cs="仿宋"/>
                <w:sz w:val="24"/>
                <w:szCs w:val="24"/>
                <w:lang w:eastAsia="zh-CN"/>
              </w:rPr>
              <w:t>：</w:t>
            </w:r>
            <w:r>
              <w:rPr>
                <w:rFonts w:hint="eastAsia" w:ascii="仿宋" w:hAnsi="仿宋" w:eastAsia="仿宋" w:cs="仿宋"/>
                <w:sz w:val="24"/>
                <w:szCs w:val="24"/>
              </w:rPr>
              <w:t>价格分统一采用低价优先法，即满足采购文件要求且价格最低的最后报价为评审基准价，其价格分为满分1</w:t>
            </w:r>
            <w:r>
              <w:rPr>
                <w:rFonts w:hint="eastAsia" w:ascii="仿宋" w:hAnsi="仿宋" w:eastAsia="仿宋" w:cs="仿宋"/>
                <w:sz w:val="24"/>
                <w:szCs w:val="24"/>
                <w:lang w:val="en-US" w:eastAsia="zh-CN"/>
              </w:rPr>
              <w:t>0</w:t>
            </w:r>
            <w:r>
              <w:rPr>
                <w:rFonts w:hint="eastAsia" w:ascii="仿宋" w:hAnsi="仿宋" w:eastAsia="仿宋" w:cs="仿宋"/>
                <w:sz w:val="24"/>
                <w:szCs w:val="24"/>
              </w:rPr>
              <w:t>分。</w:t>
            </w:r>
            <w:r>
              <w:rPr>
                <w:rFonts w:hint="eastAsia" w:ascii="仿宋" w:hAnsi="仿宋" w:eastAsia="仿宋" w:cs="仿宋"/>
                <w:sz w:val="24"/>
                <w:szCs w:val="24"/>
                <w:lang w:eastAsia="zh-CN"/>
              </w:rPr>
              <w:t>报价得分=（通过初步评审的所有供应商的最低评审价格／供应商评审价格）×</w:t>
            </w:r>
            <w:r>
              <w:rPr>
                <w:rFonts w:hint="eastAsia" w:ascii="仿宋" w:hAnsi="仿宋" w:eastAsia="仿宋" w:cs="仿宋"/>
                <w:sz w:val="24"/>
                <w:szCs w:val="24"/>
                <w:lang w:val="en-US" w:eastAsia="zh-CN"/>
              </w:rPr>
              <w:t>10。</w:t>
            </w:r>
          </w:p>
          <w:p w14:paraId="332BF828">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□方法三：具体方法为：</w:t>
            </w:r>
            <w:r>
              <w:rPr>
                <w:rFonts w:hint="eastAsia" w:ascii="仿宋" w:hAnsi="仿宋" w:eastAsia="仿宋" w:cs="仿宋"/>
                <w:sz w:val="24"/>
                <w:szCs w:val="24"/>
                <w:u w:val="single"/>
              </w:rPr>
              <w:t xml:space="preserve">                                     </w:t>
            </w:r>
          </w:p>
        </w:tc>
      </w:tr>
      <w:tr w14:paraId="3881C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tcPr>
          <w:p w14:paraId="49884D5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3（4）</w:t>
            </w:r>
          </w:p>
        </w:tc>
        <w:tc>
          <w:tcPr>
            <w:tcW w:w="1085" w:type="dxa"/>
            <w:tcBorders>
              <w:top w:val="single" w:color="auto" w:sz="4" w:space="0"/>
              <w:left w:val="single" w:color="auto" w:sz="4" w:space="0"/>
              <w:bottom w:val="single" w:color="auto" w:sz="4" w:space="0"/>
              <w:right w:val="single" w:color="auto" w:sz="4" w:space="0"/>
            </w:tcBorders>
          </w:tcPr>
          <w:p w14:paraId="234631E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其他因素评分标准</w:t>
            </w:r>
          </w:p>
        </w:tc>
        <w:tc>
          <w:tcPr>
            <w:tcW w:w="2317" w:type="dxa"/>
            <w:tcBorders>
              <w:top w:val="single" w:color="auto" w:sz="4" w:space="0"/>
              <w:left w:val="single" w:color="auto" w:sz="4" w:space="0"/>
              <w:bottom w:val="single" w:color="auto" w:sz="4" w:space="0"/>
              <w:right w:val="single" w:color="auto" w:sz="4" w:space="0"/>
            </w:tcBorders>
            <w:vAlign w:val="center"/>
          </w:tcPr>
          <w:p w14:paraId="6BB227F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w:t>
            </w:r>
          </w:p>
        </w:tc>
        <w:tc>
          <w:tcPr>
            <w:tcW w:w="4536" w:type="dxa"/>
            <w:tcBorders>
              <w:top w:val="single" w:color="auto" w:sz="4" w:space="0"/>
              <w:left w:val="single" w:color="auto" w:sz="4" w:space="0"/>
              <w:bottom w:val="single" w:color="auto" w:sz="4" w:space="0"/>
              <w:right w:val="single" w:color="auto" w:sz="4" w:space="0"/>
            </w:tcBorders>
            <w:vAlign w:val="center"/>
          </w:tcPr>
          <w:p w14:paraId="12BCBAE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w:t>
            </w:r>
          </w:p>
        </w:tc>
      </w:tr>
      <w:tr w14:paraId="09C9D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94" w:type="dxa"/>
            <w:gridSpan w:val="2"/>
            <w:tcBorders>
              <w:top w:val="single" w:color="auto" w:sz="4" w:space="0"/>
              <w:left w:val="single" w:color="auto" w:sz="4" w:space="0"/>
              <w:bottom w:val="single" w:color="auto" w:sz="4" w:space="0"/>
              <w:right w:val="single" w:color="auto" w:sz="4" w:space="0"/>
            </w:tcBorders>
            <w:vAlign w:val="center"/>
          </w:tcPr>
          <w:p w14:paraId="475724C4">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条款号及名称</w:t>
            </w:r>
          </w:p>
        </w:tc>
        <w:tc>
          <w:tcPr>
            <w:tcW w:w="2317" w:type="dxa"/>
            <w:tcBorders>
              <w:top w:val="single" w:color="auto" w:sz="4" w:space="0"/>
              <w:left w:val="single" w:color="auto" w:sz="4" w:space="0"/>
              <w:bottom w:val="single" w:color="auto" w:sz="4" w:space="0"/>
              <w:right w:val="single" w:color="auto" w:sz="4" w:space="0"/>
            </w:tcBorders>
            <w:vAlign w:val="center"/>
          </w:tcPr>
          <w:p w14:paraId="0F3A6EE8">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条款内容</w:t>
            </w:r>
          </w:p>
        </w:tc>
        <w:tc>
          <w:tcPr>
            <w:tcW w:w="4536" w:type="dxa"/>
            <w:tcBorders>
              <w:top w:val="single" w:color="auto" w:sz="4" w:space="0"/>
              <w:left w:val="single" w:color="auto" w:sz="4" w:space="0"/>
              <w:bottom w:val="single" w:color="auto" w:sz="4" w:space="0"/>
              <w:right w:val="single" w:color="auto" w:sz="4" w:space="0"/>
            </w:tcBorders>
            <w:vAlign w:val="center"/>
          </w:tcPr>
          <w:p w14:paraId="27D58FE8">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编列内容</w:t>
            </w:r>
          </w:p>
        </w:tc>
      </w:tr>
      <w:tr w14:paraId="663B1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94" w:type="dxa"/>
            <w:gridSpan w:val="2"/>
            <w:tcBorders>
              <w:top w:val="single" w:color="auto" w:sz="4" w:space="0"/>
              <w:left w:val="single" w:color="auto" w:sz="4" w:space="0"/>
              <w:bottom w:val="single" w:color="auto" w:sz="4" w:space="0"/>
              <w:right w:val="single" w:color="auto" w:sz="4" w:space="0"/>
            </w:tcBorders>
            <w:vAlign w:val="center"/>
          </w:tcPr>
          <w:p w14:paraId="2CDC9E9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3. 6</w:t>
            </w:r>
          </w:p>
        </w:tc>
        <w:tc>
          <w:tcPr>
            <w:tcW w:w="2317" w:type="dxa"/>
            <w:tcBorders>
              <w:top w:val="single" w:color="auto" w:sz="4" w:space="0"/>
              <w:left w:val="single" w:color="auto" w:sz="4" w:space="0"/>
              <w:bottom w:val="single" w:color="auto" w:sz="4" w:space="0"/>
              <w:right w:val="single" w:color="auto" w:sz="4" w:space="0"/>
            </w:tcBorders>
            <w:vAlign w:val="center"/>
          </w:tcPr>
          <w:p w14:paraId="66E85FE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供应商并列时确定供应商优先顺序的规则</w:t>
            </w:r>
          </w:p>
        </w:tc>
        <w:tc>
          <w:tcPr>
            <w:tcW w:w="4536" w:type="dxa"/>
            <w:tcBorders>
              <w:top w:val="single" w:color="auto" w:sz="4" w:space="0"/>
              <w:left w:val="single" w:color="auto" w:sz="4" w:space="0"/>
              <w:bottom w:val="single" w:color="auto" w:sz="4" w:space="0"/>
              <w:right w:val="single" w:color="auto" w:sz="4" w:space="0"/>
            </w:tcBorders>
            <w:vAlign w:val="center"/>
          </w:tcPr>
          <w:p w14:paraId="41B89EF6">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□由评审小组投票决定</w:t>
            </w:r>
          </w:p>
          <w:p w14:paraId="12A2C671">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由评审小组抽签决定</w:t>
            </w:r>
          </w:p>
          <w:p w14:paraId="3C2861E7">
            <w:pPr>
              <w:adjustRightInd w:val="0"/>
              <w:snapToGrid w:val="0"/>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其他方法：</w:t>
            </w:r>
            <w:r>
              <w:rPr>
                <w:rFonts w:hint="eastAsia" w:ascii="仿宋" w:hAnsi="仿宋" w:eastAsia="仿宋" w:cs="仿宋"/>
                <w:sz w:val="24"/>
                <w:szCs w:val="24"/>
                <w:u w:val="single"/>
              </w:rPr>
              <w:t xml:space="preserve">                           </w:t>
            </w:r>
          </w:p>
        </w:tc>
      </w:tr>
    </w:tbl>
    <w:p w14:paraId="418414C7">
      <w:pPr>
        <w:widowControl/>
        <w:jc w:val="left"/>
        <w:rPr>
          <w:rFonts w:hint="eastAsia" w:ascii="仿宋" w:hAnsi="仿宋" w:eastAsia="仿宋" w:cs="仿宋"/>
          <w:b/>
          <w:color w:val="000000"/>
          <w:sz w:val="32"/>
          <w:szCs w:val="20"/>
        </w:rPr>
      </w:pPr>
    </w:p>
    <w:p w14:paraId="58C08D01">
      <w:pPr>
        <w:pStyle w:val="3"/>
        <w:rPr>
          <w:rFonts w:hint="eastAsia" w:ascii="仿宋" w:hAnsi="仿宋" w:eastAsia="仿宋" w:cs="仿宋"/>
          <w:color w:val="000000"/>
        </w:rPr>
      </w:pPr>
      <w:bookmarkStart w:id="293" w:name="_Toc21421"/>
      <w:r>
        <w:rPr>
          <w:rFonts w:hint="eastAsia" w:ascii="仿宋" w:hAnsi="仿宋" w:eastAsia="仿宋" w:cs="仿宋"/>
          <w:color w:val="000000"/>
        </w:rPr>
        <w:t>1. 评审方法</w:t>
      </w:r>
      <w:bookmarkEnd w:id="293"/>
    </w:p>
    <w:p w14:paraId="0AB83611">
      <w:pPr>
        <w:spacing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本次评审采用综合评分法。评审小组对满足采购文件实质性要求的响应文件，按照本章第</w:t>
      </w:r>
      <w:r>
        <w:rPr>
          <w:rFonts w:hint="eastAsia" w:ascii="仿宋" w:hAnsi="仿宋" w:eastAsia="仿宋" w:cs="仿宋"/>
          <w:sz w:val="24"/>
          <w:szCs w:val="24"/>
        </w:rPr>
        <w:t>3条</w:t>
      </w:r>
      <w:r>
        <w:rPr>
          <w:rFonts w:hint="eastAsia" w:ascii="仿宋" w:hAnsi="仿宋" w:eastAsia="仿宋" w:cs="仿宋"/>
          <w:color w:val="000000"/>
          <w:sz w:val="24"/>
          <w:szCs w:val="24"/>
        </w:rPr>
        <w:t>规定的评分标准进行打分，并按得分由高到低顺序推荐候选成交供应商。</w:t>
      </w:r>
    </w:p>
    <w:p w14:paraId="3C812684">
      <w:pPr>
        <w:pStyle w:val="3"/>
        <w:rPr>
          <w:rFonts w:hint="eastAsia" w:ascii="仿宋" w:hAnsi="仿宋" w:eastAsia="仿宋" w:cs="仿宋"/>
          <w:color w:val="000000"/>
        </w:rPr>
      </w:pPr>
      <w:bookmarkStart w:id="294" w:name="_Toc17364"/>
      <w:r>
        <w:rPr>
          <w:rFonts w:hint="eastAsia" w:ascii="仿宋" w:hAnsi="仿宋" w:eastAsia="仿宋" w:cs="仿宋"/>
          <w:color w:val="000000"/>
        </w:rPr>
        <w:t>2. 初步评审标准和程序</w:t>
      </w:r>
      <w:bookmarkEnd w:id="294"/>
    </w:p>
    <w:p w14:paraId="7DC7EA33">
      <w:pPr>
        <w:pStyle w:val="4"/>
        <w:spacing w:line="240" w:lineRule="auto"/>
        <w:ind w:firstLine="137"/>
        <w:rPr>
          <w:rFonts w:hint="eastAsia" w:ascii="仿宋" w:hAnsi="仿宋" w:eastAsia="仿宋" w:cs="仿宋"/>
          <w:color w:val="000000"/>
        </w:rPr>
      </w:pPr>
      <w:bookmarkStart w:id="295" w:name="_Toc13719"/>
      <w:r>
        <w:rPr>
          <w:rFonts w:hint="eastAsia" w:ascii="仿宋" w:hAnsi="仿宋" w:eastAsia="仿宋" w:cs="仿宋"/>
          <w:color w:val="000000"/>
        </w:rPr>
        <w:t>2.1 初步评审标准</w:t>
      </w:r>
      <w:bookmarkEnd w:id="295"/>
    </w:p>
    <w:p w14:paraId="5080FCE2">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2.1.1 形式评审标准：见</w:t>
      </w:r>
      <w:r>
        <w:rPr>
          <w:rFonts w:hint="eastAsia" w:ascii="仿宋" w:hAnsi="仿宋" w:eastAsia="仿宋" w:cs="仿宋"/>
          <w:iCs/>
          <w:color w:val="000000"/>
          <w:sz w:val="24"/>
          <w:szCs w:val="24"/>
        </w:rPr>
        <w:t>评审办法前附表</w:t>
      </w:r>
      <w:r>
        <w:rPr>
          <w:rFonts w:hint="eastAsia" w:ascii="仿宋" w:hAnsi="仿宋" w:eastAsia="仿宋" w:cs="仿宋"/>
          <w:color w:val="000000"/>
          <w:sz w:val="24"/>
          <w:szCs w:val="24"/>
        </w:rPr>
        <w:t>。</w:t>
      </w:r>
    </w:p>
    <w:p w14:paraId="324D6ED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2.1.2 资格评审标准：见</w:t>
      </w:r>
      <w:r>
        <w:rPr>
          <w:rFonts w:hint="eastAsia" w:ascii="仿宋" w:hAnsi="仿宋" w:eastAsia="仿宋" w:cs="仿宋"/>
          <w:iCs/>
          <w:color w:val="000000"/>
          <w:sz w:val="24"/>
          <w:szCs w:val="24"/>
        </w:rPr>
        <w:t>评审办法前附表</w:t>
      </w:r>
      <w:r>
        <w:rPr>
          <w:rFonts w:hint="eastAsia" w:ascii="仿宋" w:hAnsi="仿宋" w:eastAsia="仿宋" w:cs="仿宋"/>
          <w:color w:val="000000"/>
          <w:sz w:val="24"/>
          <w:szCs w:val="24"/>
        </w:rPr>
        <w:t>。</w:t>
      </w:r>
    </w:p>
    <w:p w14:paraId="46068E87">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2.1.3 响应性评审标准：见</w:t>
      </w:r>
      <w:r>
        <w:rPr>
          <w:rFonts w:hint="eastAsia" w:ascii="仿宋" w:hAnsi="仿宋" w:eastAsia="仿宋" w:cs="仿宋"/>
          <w:iCs/>
          <w:color w:val="000000"/>
          <w:sz w:val="24"/>
          <w:szCs w:val="24"/>
        </w:rPr>
        <w:t>评审办法前附表</w:t>
      </w:r>
      <w:r>
        <w:rPr>
          <w:rFonts w:hint="eastAsia" w:ascii="仿宋" w:hAnsi="仿宋" w:eastAsia="仿宋" w:cs="仿宋"/>
          <w:color w:val="000000"/>
          <w:sz w:val="24"/>
          <w:szCs w:val="24"/>
        </w:rPr>
        <w:t>。</w:t>
      </w:r>
    </w:p>
    <w:p w14:paraId="7D218FDA">
      <w:pPr>
        <w:pStyle w:val="4"/>
        <w:spacing w:line="240" w:lineRule="auto"/>
        <w:ind w:firstLine="137"/>
        <w:rPr>
          <w:rFonts w:hint="eastAsia" w:ascii="仿宋" w:hAnsi="仿宋" w:eastAsia="仿宋" w:cs="仿宋"/>
          <w:color w:val="000000"/>
        </w:rPr>
      </w:pPr>
      <w:bookmarkStart w:id="296" w:name="_Toc2389"/>
      <w:r>
        <w:rPr>
          <w:rFonts w:hint="eastAsia" w:ascii="仿宋" w:hAnsi="仿宋" w:eastAsia="仿宋" w:cs="仿宋"/>
          <w:color w:val="000000"/>
        </w:rPr>
        <w:t>2.2 初步评审程序</w:t>
      </w:r>
      <w:bookmarkEnd w:id="296"/>
    </w:p>
    <w:p w14:paraId="1A5A51CF">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2.2.1 评审小组</w:t>
      </w:r>
      <w:r>
        <w:rPr>
          <w:rFonts w:hint="eastAsia" w:ascii="仿宋" w:hAnsi="仿宋" w:eastAsia="仿宋" w:cs="仿宋"/>
          <w:sz w:val="24"/>
          <w:szCs w:val="24"/>
        </w:rPr>
        <w:t>依据本章第2.1款规定的标准</w:t>
      </w:r>
      <w:r>
        <w:rPr>
          <w:rFonts w:hint="eastAsia" w:ascii="仿宋" w:hAnsi="仿宋" w:eastAsia="仿宋" w:cs="仿宋"/>
          <w:color w:val="000000"/>
          <w:sz w:val="24"/>
          <w:szCs w:val="24"/>
        </w:rPr>
        <w:t>对供应商递交的响应文件进行初步评审，判断响应文件的形式是否符合要求、供应商是否符合资格条件、响应文件是否实质性响应采购文件的要求。只有以上评审合格的响应文件才可通过初步评审。</w:t>
      </w:r>
    </w:p>
    <w:p w14:paraId="2F178ED3">
      <w:pPr>
        <w:spacing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2.2.2</w:t>
      </w:r>
      <w:r>
        <w:rPr>
          <w:rFonts w:hint="eastAsia" w:ascii="仿宋" w:hAnsi="仿宋" w:eastAsia="仿宋" w:cs="仿宋"/>
          <w:sz w:val="24"/>
          <w:szCs w:val="24"/>
        </w:rPr>
        <w:t xml:space="preserve"> 除评审办法前附表另有规定外，评审价格为供应商在响应函中填报的大写含税价格。</w:t>
      </w:r>
    </w:p>
    <w:p w14:paraId="2C1C4346">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评审价格若超过最高限价（如有），其响应文件将被视为无效。</w:t>
      </w:r>
    </w:p>
    <w:p w14:paraId="105072FE">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43D5F773">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6536BB5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响应文件有算术错误及其他错误的，评审小组按以下原则要求供应商对响应报价进行修正，并要求供应商书面澄清确认。供应商拒不澄清确认的，其响应文件将被视为无效：</w:t>
      </w:r>
    </w:p>
    <w:p w14:paraId="129EE883">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（1）大写金额与小写金额不一致的，以大写金额为准；</w:t>
      </w:r>
    </w:p>
    <w:p w14:paraId="7CF22AEA">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（2）总价金额与单价金额不一致的以单价金额为准，但单价金额小数点有明显错误的除外；</w:t>
      </w:r>
    </w:p>
    <w:p w14:paraId="49F7525F">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（3）报价表合计报价与分项报价的合计不一致的，以各分项报价的合计累计数为准；</w:t>
      </w:r>
    </w:p>
    <w:p w14:paraId="06273A36">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（4）如果分项报价中存在缺漏项，且缺漏项内容不属于实质性偏差的，则视为缺漏项内容的价格已包含在其他分项报价之中。</w:t>
      </w:r>
    </w:p>
    <w:p w14:paraId="2135704B">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w:t>
      </w:r>
      <w:r>
        <w:rPr>
          <w:rFonts w:hint="eastAsia" w:ascii="仿宋" w:hAnsi="仿宋" w:eastAsia="仿宋" w:cs="仿宋"/>
          <w:sz w:val="24"/>
          <w:szCs w:val="24"/>
        </w:rPr>
        <w:t>响应文件将被视为无效</w:t>
      </w:r>
      <w:r>
        <w:rPr>
          <w:rFonts w:hint="eastAsia" w:ascii="仿宋" w:hAnsi="仿宋" w:eastAsia="仿宋" w:cs="仿宋"/>
          <w:color w:val="000000"/>
          <w:sz w:val="24"/>
          <w:szCs w:val="24"/>
        </w:rPr>
        <w:t>；当修正后的总报价低于原响应报价时，签订合同时以修正后的报价为准。</w:t>
      </w:r>
    </w:p>
    <w:p w14:paraId="5C2EAD02">
      <w:pPr>
        <w:spacing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2.2.4</w:t>
      </w:r>
      <w:r>
        <w:rPr>
          <w:rFonts w:hint="eastAsia" w:ascii="仿宋" w:hAnsi="仿宋" w:eastAsia="仿宋" w:cs="仿宋"/>
          <w:sz w:val="24"/>
          <w:szCs w:val="24"/>
        </w:rPr>
        <w:t>供应商有串通、弄虚作假、行贿等违法行为的，其响应文件将被视为无效。</w:t>
      </w:r>
    </w:p>
    <w:p w14:paraId="539C4B74">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2.2.5特殊情形处理</w:t>
      </w:r>
    </w:p>
    <w:p w14:paraId="7114DB87">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初步评审后，如评审小组认为所有响应文件均无效，或者所有响应报价竞争性不足，高于市场预期价格，评审小组应当终止评审，获经采购人同意，直接转换选择其他采购方式，与原供应商共同完成后续采购程序。</w:t>
      </w:r>
    </w:p>
    <w:p w14:paraId="022CE442">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选择直接转换采购方式采购的，评审小组按照本章第5条“直接转换采购方式评审程序”重新评审。除了采购人与供应商双方提出修改补充兵接受新的条件和要求外，原采购文件与原响应文件对采购人和供应商仍然具有相应约束力。</w:t>
      </w:r>
    </w:p>
    <w:p w14:paraId="7AC52E88">
      <w:pPr>
        <w:pStyle w:val="3"/>
        <w:rPr>
          <w:rFonts w:hint="eastAsia" w:ascii="仿宋" w:hAnsi="仿宋" w:eastAsia="仿宋" w:cs="仿宋"/>
          <w:color w:val="000000"/>
        </w:rPr>
      </w:pPr>
      <w:bookmarkStart w:id="297" w:name="_Toc1014"/>
      <w:r>
        <w:rPr>
          <w:rFonts w:hint="eastAsia" w:ascii="仿宋" w:hAnsi="仿宋" w:eastAsia="仿宋" w:cs="仿宋"/>
          <w:color w:val="000000"/>
        </w:rPr>
        <w:t>3. 详细评审标准和程序</w:t>
      </w:r>
      <w:bookmarkEnd w:id="297"/>
    </w:p>
    <w:p w14:paraId="093F9FD2">
      <w:pPr>
        <w:pStyle w:val="4"/>
        <w:spacing w:line="240" w:lineRule="auto"/>
        <w:ind w:firstLine="137"/>
        <w:rPr>
          <w:rFonts w:hint="eastAsia" w:ascii="仿宋" w:hAnsi="仿宋" w:eastAsia="仿宋" w:cs="仿宋"/>
          <w:color w:val="000000"/>
        </w:rPr>
      </w:pPr>
      <w:bookmarkStart w:id="298" w:name="_Toc8120"/>
      <w:r>
        <w:rPr>
          <w:rFonts w:hint="eastAsia" w:ascii="仿宋" w:hAnsi="仿宋" w:eastAsia="仿宋" w:cs="仿宋"/>
          <w:color w:val="000000"/>
        </w:rPr>
        <w:t>3.1 分值构成</w:t>
      </w:r>
      <w:bookmarkEnd w:id="298"/>
    </w:p>
    <w:p w14:paraId="67E787C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（1）商务部分：见评审办法前附表；</w:t>
      </w:r>
    </w:p>
    <w:p w14:paraId="5430C0E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（2）技术部分：见评审办法前附表；</w:t>
      </w:r>
    </w:p>
    <w:p w14:paraId="2FFDFC4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（3）报价：见评审办法前附表；</w:t>
      </w:r>
    </w:p>
    <w:p w14:paraId="555185C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（4）其他评分因素：见评审办法前附表。</w:t>
      </w:r>
    </w:p>
    <w:p w14:paraId="65055546">
      <w:pPr>
        <w:pStyle w:val="4"/>
        <w:spacing w:line="240" w:lineRule="auto"/>
        <w:ind w:firstLine="137"/>
        <w:rPr>
          <w:rFonts w:hint="eastAsia" w:ascii="仿宋" w:hAnsi="仿宋" w:eastAsia="仿宋" w:cs="仿宋"/>
          <w:color w:val="000000"/>
        </w:rPr>
      </w:pPr>
      <w:bookmarkStart w:id="299" w:name="_Toc8696"/>
      <w:r>
        <w:rPr>
          <w:rFonts w:hint="eastAsia" w:ascii="仿宋" w:hAnsi="仿宋" w:eastAsia="仿宋" w:cs="仿宋"/>
          <w:color w:val="000000"/>
        </w:rPr>
        <w:t>3.2 评审基准价计算</w:t>
      </w:r>
      <w:bookmarkEnd w:id="299"/>
    </w:p>
    <w:p w14:paraId="3957E207">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（1）评审价格：评审价格为按照本章第2.2.2项规定确定的价格。</w:t>
      </w:r>
    </w:p>
    <w:p w14:paraId="75C48AFE">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（2）评审基准价计算方法：</w:t>
      </w:r>
    </w:p>
    <w:p w14:paraId="1B905D0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方法一：评审基准价=评审价格平均值（即通过初步评审的所有供应商评审价格的算术平均值）</w:t>
      </w:r>
    </w:p>
    <w:p w14:paraId="0AB5A3A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方法二：评审基准价=评审价格平均值（即通过初步评审的所有供应商评审价格的算术平均值）×评审基准价系数，评审基准价系数的取值见评审办法前附表。</w:t>
      </w:r>
    </w:p>
    <w:p w14:paraId="58E816C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方法三：评审基准价=通过初步评审的所有供应商的最低评审价格。</w:t>
      </w:r>
    </w:p>
    <w:p w14:paraId="36D5BC5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方法四：采购人确定的其他方法。</w:t>
      </w:r>
    </w:p>
    <w:p w14:paraId="26171A1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评审基准价计算方法的选择见评审办法前附表。</w:t>
      </w:r>
    </w:p>
    <w:p w14:paraId="350F5DEA">
      <w:pPr>
        <w:pStyle w:val="4"/>
        <w:spacing w:line="240" w:lineRule="auto"/>
        <w:ind w:firstLine="137"/>
        <w:rPr>
          <w:rFonts w:hint="eastAsia" w:ascii="仿宋" w:hAnsi="仿宋" w:eastAsia="仿宋" w:cs="仿宋"/>
          <w:color w:val="000000"/>
        </w:rPr>
      </w:pPr>
      <w:bookmarkStart w:id="300" w:name="_Toc29014"/>
      <w:r>
        <w:rPr>
          <w:rFonts w:hint="eastAsia" w:ascii="仿宋" w:hAnsi="仿宋" w:eastAsia="仿宋" w:cs="仿宋"/>
          <w:color w:val="000000"/>
        </w:rPr>
        <w:t>3.3评分标准</w:t>
      </w:r>
      <w:bookmarkEnd w:id="300"/>
    </w:p>
    <w:p w14:paraId="4B995F0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（1）商务评分标准：见</w:t>
      </w:r>
      <w:r>
        <w:rPr>
          <w:rFonts w:hint="eastAsia" w:ascii="仿宋" w:hAnsi="仿宋" w:eastAsia="仿宋" w:cs="仿宋"/>
          <w:iCs/>
          <w:color w:val="000000"/>
          <w:sz w:val="24"/>
          <w:szCs w:val="24"/>
        </w:rPr>
        <w:t>评审办法前附表</w:t>
      </w:r>
      <w:r>
        <w:rPr>
          <w:rFonts w:hint="eastAsia" w:ascii="仿宋" w:hAnsi="仿宋" w:eastAsia="仿宋" w:cs="仿宋"/>
          <w:sz w:val="24"/>
          <w:szCs w:val="24"/>
        </w:rPr>
        <w:t>；</w:t>
      </w:r>
    </w:p>
    <w:p w14:paraId="3AE17C1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（2）技术评分标准：见</w:t>
      </w:r>
      <w:r>
        <w:rPr>
          <w:rFonts w:hint="eastAsia" w:ascii="仿宋" w:hAnsi="仿宋" w:eastAsia="仿宋" w:cs="仿宋"/>
          <w:iCs/>
          <w:color w:val="000000"/>
          <w:sz w:val="24"/>
          <w:szCs w:val="24"/>
        </w:rPr>
        <w:t>评审办法前附表</w:t>
      </w:r>
      <w:r>
        <w:rPr>
          <w:rFonts w:hint="eastAsia" w:ascii="仿宋" w:hAnsi="仿宋" w:eastAsia="仿宋" w:cs="仿宋"/>
          <w:sz w:val="24"/>
          <w:szCs w:val="24"/>
        </w:rPr>
        <w:t>；</w:t>
      </w:r>
    </w:p>
    <w:p w14:paraId="51775E6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（3）报价评分标准：</w:t>
      </w:r>
    </w:p>
    <w:p w14:paraId="6FFFFC4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报价得分可采用如下方法计算：</w:t>
      </w:r>
    </w:p>
    <w:p w14:paraId="3B0E00C0">
      <w:pPr>
        <w:spacing w:line="38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方法一：偏差率=（供应商评审价格−评审基准价）/评审基准价×100% </w:t>
      </w:r>
    </w:p>
    <w:p w14:paraId="646A4BA6">
      <w:pPr>
        <w:spacing w:line="38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① 如果供应商的评审价格&gt;评审基准价，则报价得分＝F－偏差率×100× E</w:t>
      </w:r>
      <w:r>
        <w:rPr>
          <w:rFonts w:hint="eastAsia" w:ascii="仿宋" w:hAnsi="仿宋" w:eastAsia="仿宋" w:cs="仿宋"/>
          <w:sz w:val="24"/>
          <w:szCs w:val="24"/>
          <w:vertAlign w:val="subscript"/>
        </w:rPr>
        <w:t>1</w:t>
      </w:r>
      <w:r>
        <w:rPr>
          <w:rFonts w:hint="eastAsia" w:ascii="仿宋" w:hAnsi="仿宋" w:eastAsia="仿宋" w:cs="仿宋"/>
          <w:sz w:val="24"/>
          <w:szCs w:val="24"/>
        </w:rPr>
        <w:t>；</w:t>
      </w:r>
    </w:p>
    <w:p w14:paraId="0617126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 如果供应商的评审价格≤评审基准价，则报价得分＝F＋偏差率× 100× E</w:t>
      </w:r>
      <w:r>
        <w:rPr>
          <w:rFonts w:hint="eastAsia" w:ascii="仿宋" w:hAnsi="仿宋" w:eastAsia="仿宋" w:cs="仿宋"/>
          <w:sz w:val="24"/>
          <w:szCs w:val="24"/>
          <w:vertAlign w:val="subscript"/>
        </w:rPr>
        <w:t>2</w:t>
      </w:r>
      <w:r>
        <w:rPr>
          <w:rFonts w:hint="eastAsia" w:ascii="仿宋" w:hAnsi="仿宋" w:eastAsia="仿宋" w:cs="仿宋"/>
          <w:sz w:val="24"/>
          <w:szCs w:val="24"/>
        </w:rPr>
        <w:t>。</w:t>
      </w:r>
    </w:p>
    <w:p w14:paraId="34E8A51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其中F为本章第3. 1（3）项规定的报价所占的分值；E</w:t>
      </w:r>
      <w:r>
        <w:rPr>
          <w:rFonts w:hint="eastAsia" w:ascii="仿宋" w:hAnsi="仿宋" w:eastAsia="仿宋" w:cs="仿宋"/>
          <w:sz w:val="24"/>
          <w:szCs w:val="24"/>
          <w:vertAlign w:val="subscript"/>
        </w:rPr>
        <w:t>1</w:t>
      </w:r>
      <w:r>
        <w:rPr>
          <w:rFonts w:hint="eastAsia" w:ascii="仿宋" w:hAnsi="仿宋" w:eastAsia="仿宋" w:cs="仿宋"/>
          <w:sz w:val="24"/>
          <w:szCs w:val="24"/>
        </w:rPr>
        <w:t>是评审价格每高于评审基准价一个百分点的扣分值、E</w:t>
      </w:r>
      <w:r>
        <w:rPr>
          <w:rFonts w:hint="eastAsia" w:ascii="仿宋" w:hAnsi="仿宋" w:eastAsia="仿宋" w:cs="仿宋"/>
          <w:sz w:val="24"/>
          <w:szCs w:val="24"/>
          <w:vertAlign w:val="subscript"/>
        </w:rPr>
        <w:t>2</w:t>
      </w:r>
      <w:r>
        <w:rPr>
          <w:rFonts w:hint="eastAsia" w:ascii="仿宋" w:hAnsi="仿宋" w:eastAsia="仿宋" w:cs="仿宋"/>
          <w:sz w:val="24"/>
          <w:szCs w:val="24"/>
        </w:rPr>
        <w:t>是评审价格每低于评审基准价一个百分点的扣分值，E</w:t>
      </w:r>
      <w:r>
        <w:rPr>
          <w:rFonts w:hint="eastAsia" w:ascii="仿宋" w:hAnsi="仿宋" w:eastAsia="仿宋" w:cs="仿宋"/>
          <w:sz w:val="24"/>
          <w:szCs w:val="24"/>
          <w:vertAlign w:val="subscript"/>
        </w:rPr>
        <w:t>1</w:t>
      </w:r>
      <w:r>
        <w:rPr>
          <w:rFonts w:hint="eastAsia" w:ascii="仿宋" w:hAnsi="仿宋" w:eastAsia="仿宋" w:cs="仿宋"/>
          <w:sz w:val="24"/>
          <w:szCs w:val="24"/>
        </w:rPr>
        <w:t>可大于或等于E</w:t>
      </w:r>
      <w:r>
        <w:rPr>
          <w:rFonts w:hint="eastAsia" w:ascii="仿宋" w:hAnsi="仿宋" w:eastAsia="仿宋" w:cs="仿宋"/>
          <w:sz w:val="24"/>
          <w:szCs w:val="24"/>
          <w:vertAlign w:val="subscript"/>
        </w:rPr>
        <w:t>2</w:t>
      </w:r>
      <w:r>
        <w:rPr>
          <w:rFonts w:hint="eastAsia" w:ascii="仿宋" w:hAnsi="仿宋" w:eastAsia="仿宋" w:cs="仿宋"/>
          <w:sz w:val="24"/>
          <w:szCs w:val="24"/>
        </w:rPr>
        <w:t>。E</w:t>
      </w:r>
      <w:r>
        <w:rPr>
          <w:rFonts w:hint="eastAsia" w:ascii="仿宋" w:hAnsi="仿宋" w:eastAsia="仿宋" w:cs="仿宋"/>
          <w:sz w:val="24"/>
          <w:szCs w:val="24"/>
          <w:vertAlign w:val="subscript"/>
        </w:rPr>
        <w:t>1</w:t>
      </w:r>
      <w:r>
        <w:rPr>
          <w:rFonts w:hint="eastAsia" w:ascii="仿宋" w:hAnsi="仿宋" w:eastAsia="仿宋" w:cs="仿宋"/>
          <w:sz w:val="24"/>
          <w:szCs w:val="24"/>
        </w:rPr>
        <w:t>、E</w:t>
      </w:r>
      <w:r>
        <w:rPr>
          <w:rFonts w:hint="eastAsia" w:ascii="仿宋" w:hAnsi="仿宋" w:eastAsia="仿宋" w:cs="仿宋"/>
          <w:sz w:val="24"/>
          <w:szCs w:val="24"/>
          <w:vertAlign w:val="subscript"/>
        </w:rPr>
        <w:t>2</w:t>
      </w:r>
      <w:r>
        <w:rPr>
          <w:rFonts w:hint="eastAsia" w:ascii="仿宋" w:hAnsi="仿宋" w:eastAsia="仿宋" w:cs="仿宋"/>
          <w:sz w:val="24"/>
          <w:szCs w:val="24"/>
        </w:rPr>
        <w:t>的取值见评审办法前附表。</w:t>
      </w:r>
    </w:p>
    <w:p w14:paraId="7B41340F">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方法二：报价得分=</w:t>
      </w:r>
      <w:r>
        <w:rPr>
          <w:rFonts w:hint="eastAsia" w:ascii="仿宋" w:hAnsi="仿宋" w:eastAsia="仿宋" w:cs="仿宋"/>
          <w:color w:val="000000"/>
          <w:sz w:val="24"/>
          <w:szCs w:val="24"/>
        </w:rPr>
        <w:t>（</w:t>
      </w:r>
      <w:r>
        <w:rPr>
          <w:rFonts w:hint="eastAsia" w:ascii="仿宋" w:hAnsi="仿宋" w:eastAsia="仿宋" w:cs="仿宋"/>
          <w:sz w:val="24"/>
          <w:szCs w:val="24"/>
        </w:rPr>
        <w:t>通过初步评审的所有供应商的最低评审价格</w:t>
      </w:r>
      <w:r>
        <w:rPr>
          <w:rFonts w:hint="eastAsia" w:ascii="仿宋" w:hAnsi="仿宋" w:eastAsia="仿宋" w:cs="仿宋"/>
          <w:color w:val="000000"/>
          <w:sz w:val="24"/>
          <w:szCs w:val="24"/>
        </w:rPr>
        <w:t>／</w:t>
      </w:r>
      <w:r>
        <w:rPr>
          <w:rFonts w:hint="eastAsia" w:ascii="仿宋" w:hAnsi="仿宋" w:eastAsia="仿宋" w:cs="仿宋"/>
          <w:sz w:val="24"/>
          <w:szCs w:val="24"/>
        </w:rPr>
        <w:t>供应商</w:t>
      </w:r>
      <w:r>
        <w:rPr>
          <w:rFonts w:hint="eastAsia" w:ascii="仿宋" w:hAnsi="仿宋" w:eastAsia="仿宋" w:cs="仿宋"/>
          <w:color w:val="000000"/>
          <w:sz w:val="24"/>
          <w:szCs w:val="24"/>
        </w:rPr>
        <w:t>评审价格）</w:t>
      </w:r>
      <w:r>
        <w:rPr>
          <w:rFonts w:hint="eastAsia" w:ascii="仿宋" w:hAnsi="仿宋" w:eastAsia="仿宋" w:cs="仿宋"/>
          <w:sz w:val="24"/>
          <w:szCs w:val="24"/>
        </w:rPr>
        <w:t>×F，F为本章第3. 1（3）项规定的报价所占的分值。</w:t>
      </w:r>
    </w:p>
    <w:p w14:paraId="4F3BB13C">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方法三：采购人确定的其他方法。</w:t>
      </w:r>
    </w:p>
    <w:p w14:paraId="268309B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报价得分计算方法见评审办法前附表。</w:t>
      </w:r>
    </w:p>
    <w:p w14:paraId="6CAACAA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（4）其他因素评分标准：见</w:t>
      </w:r>
      <w:r>
        <w:rPr>
          <w:rFonts w:hint="eastAsia" w:ascii="仿宋" w:hAnsi="仿宋" w:eastAsia="仿宋" w:cs="仿宋"/>
          <w:iCs/>
          <w:color w:val="000000"/>
          <w:sz w:val="24"/>
          <w:szCs w:val="24"/>
        </w:rPr>
        <w:t>评审办法前附表</w:t>
      </w:r>
      <w:r>
        <w:rPr>
          <w:rFonts w:hint="eastAsia" w:ascii="仿宋" w:hAnsi="仿宋" w:eastAsia="仿宋" w:cs="仿宋"/>
          <w:sz w:val="24"/>
          <w:szCs w:val="24"/>
        </w:rPr>
        <w:t>。</w:t>
      </w:r>
    </w:p>
    <w:p w14:paraId="4343EB8C">
      <w:pPr>
        <w:pStyle w:val="4"/>
        <w:spacing w:line="240" w:lineRule="auto"/>
        <w:ind w:firstLine="137"/>
        <w:rPr>
          <w:rFonts w:hint="eastAsia" w:ascii="仿宋" w:hAnsi="仿宋" w:eastAsia="仿宋" w:cs="仿宋"/>
          <w:color w:val="000000"/>
        </w:rPr>
      </w:pPr>
      <w:bookmarkStart w:id="301" w:name="_Toc15569"/>
      <w:r>
        <w:rPr>
          <w:rFonts w:hint="eastAsia" w:ascii="仿宋" w:hAnsi="仿宋" w:eastAsia="仿宋" w:cs="仿宋"/>
          <w:color w:val="000000"/>
        </w:rPr>
        <w:t>3.4评分</w:t>
      </w:r>
      <w:bookmarkEnd w:id="301"/>
    </w:p>
    <w:p w14:paraId="723027A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p>
    <w:p w14:paraId="797D7302">
      <w:pPr>
        <w:pStyle w:val="4"/>
        <w:spacing w:line="240" w:lineRule="auto"/>
        <w:ind w:firstLine="137"/>
        <w:rPr>
          <w:rFonts w:hint="eastAsia" w:ascii="仿宋" w:hAnsi="仿宋" w:eastAsia="仿宋" w:cs="仿宋"/>
          <w:color w:val="000000"/>
        </w:rPr>
      </w:pPr>
      <w:bookmarkStart w:id="302" w:name="_Toc14799"/>
      <w:r>
        <w:rPr>
          <w:rFonts w:hint="eastAsia" w:ascii="仿宋" w:hAnsi="仿宋" w:eastAsia="仿宋" w:cs="仿宋"/>
          <w:color w:val="000000"/>
        </w:rPr>
        <w:t>3.5汇总</w:t>
      </w:r>
      <w:bookmarkEnd w:id="302"/>
    </w:p>
    <w:p w14:paraId="3B27085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评审小组汇总每个成员对供应商的评分总分，每个供应商的评分总分的算术平均值为供应商最终得分。</w:t>
      </w:r>
    </w:p>
    <w:p w14:paraId="70EF7D53">
      <w:pPr>
        <w:pStyle w:val="4"/>
        <w:spacing w:line="240" w:lineRule="auto"/>
        <w:ind w:firstLine="137"/>
        <w:rPr>
          <w:rFonts w:hint="eastAsia" w:ascii="仿宋" w:hAnsi="仿宋" w:eastAsia="仿宋" w:cs="仿宋"/>
          <w:color w:val="000000"/>
        </w:rPr>
      </w:pPr>
      <w:bookmarkStart w:id="303" w:name="_Toc16374"/>
      <w:r>
        <w:rPr>
          <w:rFonts w:hint="eastAsia" w:ascii="仿宋" w:hAnsi="仿宋" w:eastAsia="仿宋" w:cs="仿宋"/>
          <w:color w:val="000000"/>
        </w:rPr>
        <w:t>3.6排序</w:t>
      </w:r>
      <w:bookmarkEnd w:id="303"/>
    </w:p>
    <w:p w14:paraId="36E64FF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57758D80">
      <w:pPr>
        <w:pStyle w:val="4"/>
        <w:spacing w:line="240" w:lineRule="auto"/>
        <w:ind w:firstLine="137"/>
        <w:rPr>
          <w:rFonts w:hint="eastAsia" w:ascii="仿宋" w:hAnsi="仿宋" w:eastAsia="仿宋" w:cs="仿宋"/>
          <w:color w:val="000000"/>
        </w:rPr>
      </w:pPr>
      <w:bookmarkStart w:id="304" w:name="_Toc9170"/>
      <w:r>
        <w:rPr>
          <w:rFonts w:hint="eastAsia" w:ascii="仿宋" w:hAnsi="仿宋" w:eastAsia="仿宋" w:cs="仿宋"/>
          <w:color w:val="000000"/>
        </w:rPr>
        <w:t>3.7特殊情形处理</w:t>
      </w:r>
      <w:bookmarkEnd w:id="304"/>
    </w:p>
    <w:p w14:paraId="55400782">
      <w:pPr>
        <w:spacing w:line="400" w:lineRule="exact"/>
        <w:ind w:firstLine="480" w:firstLineChars="200"/>
        <w:rPr>
          <w:rFonts w:hint="eastAsia" w:ascii="仿宋" w:hAnsi="仿宋" w:eastAsia="仿宋" w:cs="仿宋"/>
          <w:sz w:val="24"/>
          <w:szCs w:val="24"/>
        </w:rPr>
      </w:pPr>
      <w:bookmarkStart w:id="305" w:name="_Toc3131"/>
      <w:r>
        <w:rPr>
          <w:rFonts w:hint="eastAsia" w:ascii="仿宋" w:hAnsi="仿宋" w:eastAsia="仿宋" w:cs="仿宋"/>
          <w:sz w:val="24"/>
          <w:szCs w:val="24"/>
        </w:rPr>
        <w:t>当通过初步评审的供应商数量</w:t>
      </w:r>
      <w:r>
        <w:rPr>
          <w:rFonts w:hint="eastAsia" w:ascii="仿宋" w:hAnsi="仿宋" w:eastAsia="仿宋" w:cs="仿宋"/>
          <w:sz w:val="24"/>
          <w:szCs w:val="24"/>
          <w:lang w:val="en-US" w:eastAsia="zh-CN"/>
        </w:rPr>
        <w:t>只有1家，</w:t>
      </w:r>
      <w:r>
        <w:rPr>
          <w:rFonts w:hint="eastAsia" w:ascii="仿宋" w:hAnsi="仿宋" w:eastAsia="仿宋" w:cs="仿宋"/>
          <w:sz w:val="24"/>
          <w:szCs w:val="24"/>
        </w:rPr>
        <w:t>评审小组认为供应商的响应价格合理且物有所值时，不再进行详细评审，直接推荐上述供应商为候选成交供应商。</w:t>
      </w:r>
    </w:p>
    <w:p w14:paraId="31BBF3D3">
      <w:pPr>
        <w:pStyle w:val="3"/>
        <w:rPr>
          <w:rFonts w:hint="eastAsia" w:ascii="仿宋" w:hAnsi="仿宋" w:eastAsia="仿宋" w:cs="仿宋"/>
          <w:color w:val="000000"/>
        </w:rPr>
      </w:pPr>
      <w:r>
        <w:rPr>
          <w:rFonts w:hint="eastAsia" w:ascii="仿宋" w:hAnsi="仿宋" w:eastAsia="仿宋" w:cs="仿宋"/>
          <w:color w:val="000000"/>
        </w:rPr>
        <w:t>4. 评审结果</w:t>
      </w:r>
      <w:bookmarkEnd w:id="305"/>
    </w:p>
    <w:p w14:paraId="1F6A1084">
      <w:pPr>
        <w:pStyle w:val="4"/>
        <w:spacing w:line="240" w:lineRule="auto"/>
        <w:ind w:firstLine="137"/>
        <w:rPr>
          <w:rFonts w:hint="eastAsia" w:ascii="仿宋" w:hAnsi="仿宋" w:eastAsia="仿宋" w:cs="仿宋"/>
          <w:color w:val="000000"/>
        </w:rPr>
      </w:pPr>
      <w:bookmarkStart w:id="306" w:name="_Toc29240"/>
      <w:r>
        <w:rPr>
          <w:rFonts w:hint="eastAsia" w:ascii="仿宋" w:hAnsi="仿宋" w:eastAsia="仿宋" w:cs="仿宋"/>
          <w:color w:val="000000"/>
        </w:rPr>
        <w:t>4.1 提交书面评审报告</w:t>
      </w:r>
      <w:bookmarkEnd w:id="306"/>
    </w:p>
    <w:p w14:paraId="6D6499C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评审小组完成评审后，应当向采购人提交书面评审报告。</w:t>
      </w:r>
    </w:p>
    <w:p w14:paraId="68F69B3D">
      <w:pPr>
        <w:pStyle w:val="4"/>
        <w:spacing w:line="240" w:lineRule="auto"/>
        <w:ind w:firstLine="137"/>
        <w:rPr>
          <w:rFonts w:hint="eastAsia" w:ascii="仿宋" w:hAnsi="仿宋" w:eastAsia="仿宋" w:cs="仿宋"/>
          <w:color w:val="000000"/>
        </w:rPr>
      </w:pPr>
      <w:bookmarkStart w:id="307" w:name="_Toc4359"/>
      <w:r>
        <w:rPr>
          <w:rFonts w:hint="eastAsia" w:ascii="仿宋" w:hAnsi="仿宋" w:eastAsia="仿宋" w:cs="仿宋"/>
          <w:color w:val="000000"/>
        </w:rPr>
        <w:t>4.2 推荐候选成交供应商排序要求及数量</w:t>
      </w:r>
      <w:bookmarkEnd w:id="307"/>
    </w:p>
    <w:p w14:paraId="4601152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评审小组应在书面评审报告中按照供应商排列的优先顺序向采购人推荐候选成交供应商（排序或不排序）。候选成交供应商的排序要求及数量见</w:t>
      </w:r>
      <w:r>
        <w:rPr>
          <w:rFonts w:hint="eastAsia" w:ascii="仿宋" w:hAnsi="仿宋" w:eastAsia="仿宋" w:cs="仿宋"/>
          <w:iCs/>
          <w:color w:val="000000"/>
          <w:sz w:val="24"/>
          <w:szCs w:val="24"/>
        </w:rPr>
        <w:t>第二章“供应商须知”</w:t>
      </w:r>
      <w:r>
        <w:rPr>
          <w:rFonts w:hint="eastAsia" w:ascii="仿宋" w:hAnsi="仿宋" w:eastAsia="仿宋" w:cs="仿宋"/>
          <w:sz w:val="24"/>
          <w:szCs w:val="24"/>
        </w:rPr>
        <w:t>。</w:t>
      </w:r>
    </w:p>
    <w:p w14:paraId="70A61746">
      <w:pPr>
        <w:pStyle w:val="3"/>
        <w:rPr>
          <w:rFonts w:hint="eastAsia" w:ascii="仿宋" w:hAnsi="仿宋" w:eastAsia="仿宋" w:cs="仿宋"/>
          <w:color w:val="000000"/>
        </w:rPr>
      </w:pPr>
      <w:bookmarkStart w:id="308" w:name="_Toc30457"/>
      <w:r>
        <w:rPr>
          <w:rFonts w:hint="eastAsia" w:ascii="仿宋" w:hAnsi="仿宋" w:eastAsia="仿宋" w:cs="仿宋"/>
          <w:color w:val="000000"/>
        </w:rPr>
        <w:t>5. 直接转换采购方式评审程序</w:t>
      </w:r>
      <w:bookmarkEnd w:id="308"/>
    </w:p>
    <w:p w14:paraId="1C7666EA">
      <w:pPr>
        <w:pStyle w:val="4"/>
        <w:spacing w:line="240" w:lineRule="auto"/>
        <w:ind w:firstLine="137"/>
        <w:rPr>
          <w:rFonts w:hint="eastAsia" w:ascii="仿宋" w:hAnsi="仿宋" w:eastAsia="仿宋" w:cs="仿宋"/>
          <w:color w:val="000000"/>
        </w:rPr>
      </w:pPr>
      <w:bookmarkStart w:id="309" w:name="_Toc8180"/>
      <w:r>
        <w:rPr>
          <w:rFonts w:hint="eastAsia" w:ascii="仿宋" w:hAnsi="仿宋" w:eastAsia="仿宋" w:cs="仿宋"/>
          <w:color w:val="000000"/>
        </w:rPr>
        <w:t>5.1 初步评审</w:t>
      </w:r>
      <w:bookmarkEnd w:id="309"/>
    </w:p>
    <w:p w14:paraId="559D2BF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5.1.1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021B381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5.1.2 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澄清、说明和补正的内容作为响应文件的组成部分。</w:t>
      </w:r>
    </w:p>
    <w:p w14:paraId="45C94AF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5.1.3 只有形式评审和资格评审合格且实质性响应采购文件要求的供应商才可通过初步评审。经供应商澄清、说明和补正后仍未通过初步评审的响应文件将被视为无效，评审小组应告知有关供应商。</w:t>
      </w:r>
    </w:p>
    <w:p w14:paraId="477DEA6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5.1.4 当通过初步评审的供应商数量大于询比采购公告第1.</w:t>
      </w:r>
      <w:r>
        <w:rPr>
          <w:rFonts w:hint="eastAsia" w:ascii="仿宋" w:hAnsi="仿宋" w:eastAsia="仿宋" w:cs="仿宋"/>
          <w:sz w:val="24"/>
          <w:szCs w:val="24"/>
          <w:lang w:val="en-US" w:eastAsia="zh-CN"/>
        </w:rPr>
        <w:t>7</w:t>
      </w:r>
      <w:r>
        <w:rPr>
          <w:rFonts w:hint="eastAsia" w:ascii="仿宋" w:hAnsi="仿宋" w:eastAsia="仿宋" w:cs="仿宋"/>
          <w:sz w:val="24"/>
          <w:szCs w:val="24"/>
        </w:rPr>
        <w:t>款规定的成交供应商数量时，可以改为参照谈判方式继续评审选择成交供应商。</w:t>
      </w:r>
    </w:p>
    <w:p w14:paraId="1FEB822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当通过初步评审的供应商数量等于询比采购公告第1.</w:t>
      </w:r>
      <w:r>
        <w:rPr>
          <w:rFonts w:hint="eastAsia" w:ascii="仿宋" w:hAnsi="仿宋" w:eastAsia="仿宋" w:cs="仿宋"/>
          <w:sz w:val="24"/>
          <w:szCs w:val="24"/>
          <w:lang w:val="en-US" w:eastAsia="zh-CN"/>
        </w:rPr>
        <w:t>7</w:t>
      </w:r>
      <w:r>
        <w:rPr>
          <w:rFonts w:hint="eastAsia" w:ascii="仿宋" w:hAnsi="仿宋" w:eastAsia="仿宋" w:cs="仿宋"/>
          <w:sz w:val="24"/>
          <w:szCs w:val="24"/>
        </w:rPr>
        <w:t>款规定的成交供应商数量时，可以改为参照直接采购方式继续评审选择成交供应商。</w:t>
      </w:r>
    </w:p>
    <w:p w14:paraId="78CA071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当询比采购公告第1.</w:t>
      </w:r>
      <w:r>
        <w:rPr>
          <w:rFonts w:hint="eastAsia" w:ascii="仿宋" w:hAnsi="仿宋" w:eastAsia="仿宋" w:cs="仿宋"/>
          <w:sz w:val="24"/>
          <w:szCs w:val="24"/>
          <w:lang w:val="en-US" w:eastAsia="zh-CN"/>
        </w:rPr>
        <w:t>7</w:t>
      </w:r>
      <w:r>
        <w:rPr>
          <w:rFonts w:hint="eastAsia" w:ascii="仿宋" w:hAnsi="仿宋" w:eastAsia="仿宋" w:cs="仿宋"/>
          <w:sz w:val="24"/>
          <w:szCs w:val="24"/>
        </w:rPr>
        <w:t>款选择多家成交供应商时，通过初步评审的供应商数量小于约定成交供应商数量且大于等于一家的，可以改为参照直接采购方式继续评审选择一部分成交供应商，或者终止全部采购，重新组织采购选择选择全部成交供应商。</w:t>
      </w:r>
    </w:p>
    <w:p w14:paraId="7A763325">
      <w:pPr>
        <w:spacing w:line="400" w:lineRule="exact"/>
        <w:ind w:firstLine="480" w:firstLineChars="200"/>
        <w:rPr>
          <w:rFonts w:hint="eastAsia" w:ascii="仿宋" w:hAnsi="仿宋" w:eastAsia="仿宋" w:cs="仿宋"/>
        </w:rPr>
      </w:pPr>
      <w:r>
        <w:rPr>
          <w:rFonts w:hint="eastAsia" w:ascii="仿宋" w:hAnsi="仿宋" w:eastAsia="仿宋" w:cs="仿宋"/>
          <w:sz w:val="24"/>
          <w:szCs w:val="24"/>
        </w:rPr>
        <w:t>初步评审后，当所有响应文件均无效时，应重新组织采购。</w:t>
      </w:r>
    </w:p>
    <w:p w14:paraId="5A24242B">
      <w:pPr>
        <w:pStyle w:val="4"/>
        <w:spacing w:line="240" w:lineRule="auto"/>
        <w:ind w:firstLine="137"/>
        <w:rPr>
          <w:rFonts w:hint="eastAsia" w:ascii="仿宋" w:hAnsi="仿宋" w:eastAsia="仿宋" w:cs="仿宋"/>
          <w:color w:val="000000"/>
        </w:rPr>
      </w:pPr>
      <w:bookmarkStart w:id="310" w:name="_Toc28353"/>
      <w:r>
        <w:rPr>
          <w:rFonts w:hint="eastAsia" w:ascii="仿宋" w:hAnsi="仿宋" w:eastAsia="仿宋" w:cs="仿宋"/>
          <w:color w:val="000000"/>
        </w:rPr>
        <w:t>5.2 转换采购方式</w:t>
      </w:r>
      <w:bookmarkEnd w:id="310"/>
    </w:p>
    <w:p w14:paraId="3FEE6DC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5.2.1 参照谈判采购方式评审</w:t>
      </w:r>
    </w:p>
    <w:p w14:paraId="696D851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（1）谈判。</w:t>
      </w:r>
    </w:p>
    <w:p w14:paraId="3A0A7F1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评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6CC23CE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2）供应商的法定代表人（单位负责人）或其授权的代理人应参加谈判。供应商的法定代表人（单位负责人）或其授权的代理人在谈判中作出的承诺构成响应文件的组成部分。</w:t>
      </w:r>
    </w:p>
    <w:p w14:paraId="6D86B68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谈判结束后，评审小组将要求所有参加谈判的供应商在规定时间内递交最终报价。最终报价应由供应商的法定代表人（单位负责人）或其授权的代理人签字或加盖单位章。最终报价是供应商响应文件的组成部分。</w:t>
      </w:r>
    </w:p>
    <w:p w14:paraId="528148C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（2）公开开启最终报价。</w:t>
      </w:r>
    </w:p>
    <w:p w14:paraId="14CB909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评审小组将在递交最终报价的截止时间公开开启最终报价，供应商未派代表参加开启会议的，视为默认开启结果。</w:t>
      </w:r>
    </w:p>
    <w:p w14:paraId="64E936C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（3）详细评审。</w:t>
      </w:r>
    </w:p>
    <w:p w14:paraId="5092984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将按本章第3条规定对响应文件及其最终报价进行详细评审。采用综合评分法的，评审小组有权对本章第3.2款规定的评审基准价和第3.3（3）项规定的报价评分标准进行调整，但评审小组应在谈判开始前向供应商公布，未公布的，视为评审基准价和报价评分标准不作调整；详细评审标准中除报价评审标准外的其他评审标准不作调整。</w:t>
      </w:r>
    </w:p>
    <w:p w14:paraId="7D70FE5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通过谈判后，评审小组认为所有供应商的最终报价仍然不合理的，应向采购人提出终止采购建议。</w:t>
      </w:r>
    </w:p>
    <w:p w14:paraId="636B7BB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（4）编写评审报告。</w:t>
      </w:r>
    </w:p>
    <w:p w14:paraId="660DDFB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评审小组按本章第4.2款规定推荐候选成交供应商或按本章第5.2.1（3）项规定提出终止采购建议，并向采购人提交书面评审报告。</w:t>
      </w:r>
    </w:p>
    <w:p w14:paraId="4CCB328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5.2.2 参照直接采购方式评审</w:t>
      </w:r>
    </w:p>
    <w:p w14:paraId="2D842C5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（1）谈判.</w:t>
      </w:r>
    </w:p>
    <w:p w14:paraId="2910385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所有成员集中与供应商进行谈判，供应商的法定代表人（单位负责人）或其授权的代理人应参加谈判。在谈判过程中，评审小组可根据谈判情况修改和补充采购文件的非实质性内容，但不得改变可能影响初步评审结果的内容。供应商的法定代表人（单位负责人）或其授权的代理人在谈判中作出的承诺构成响应文件的组成部分。评审小组可根据需要，安排多轮谈判。</w:t>
      </w:r>
    </w:p>
    <w:p w14:paraId="4F54994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（2）详细评审。</w:t>
      </w:r>
    </w:p>
    <w:p w14:paraId="2B7AEA4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评审小组通过对采购成本、供应能力、风险管控、采购目标等的分析，对供应商拟提供标的的技术、商务进行物有所值综合评价。</w:t>
      </w:r>
    </w:p>
    <w:p w14:paraId="2615AD1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（3）编写评审报告。</w:t>
      </w:r>
    </w:p>
    <w:p w14:paraId="60D63B0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评审小组根据预期的谈判目标综合谈判纪要编写评审报告，推荐候选成交供应商或提出谈判终止建议。</w:t>
      </w:r>
    </w:p>
    <w:p w14:paraId="0D65210A">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38E66DA1">
      <w:pPr>
        <w:rPr>
          <w:rFonts w:hint="eastAsia" w:ascii="仿宋" w:hAnsi="仿宋" w:eastAsia="仿宋" w:cs="仿宋"/>
          <w:color w:val="000000"/>
        </w:rPr>
      </w:pPr>
    </w:p>
    <w:bookmarkEnd w:id="291"/>
    <w:p w14:paraId="17E2F47E">
      <w:pPr>
        <w:pStyle w:val="2"/>
        <w:widowControl/>
        <w:numPr>
          <w:ilvl w:val="0"/>
          <w:numId w:val="0"/>
        </w:numPr>
        <w:spacing w:before="0" w:after="0" w:line="240" w:lineRule="auto"/>
        <w:jc w:val="center"/>
        <w:rPr>
          <w:rFonts w:hint="eastAsia" w:ascii="仿宋" w:hAnsi="仿宋" w:eastAsia="仿宋" w:cs="仿宋"/>
          <w:color w:val="000000"/>
          <w:highlight w:val="none"/>
        </w:rPr>
      </w:pPr>
      <w:bookmarkStart w:id="311" w:name="_Toc29988"/>
      <w:bookmarkStart w:id="312" w:name="_Toc19186"/>
      <w:bookmarkStart w:id="313" w:name="_Toc22160"/>
      <w:bookmarkStart w:id="314" w:name="_Toc27964"/>
      <w:bookmarkStart w:id="315" w:name="_Toc529209266"/>
      <w:bookmarkStart w:id="316" w:name="_Toc445554783"/>
      <w:bookmarkStart w:id="317" w:name="_Toc466024582"/>
      <w:r>
        <w:rPr>
          <w:rFonts w:hint="eastAsia" w:ascii="仿宋" w:hAnsi="仿宋" w:eastAsia="仿宋" w:cs="仿宋"/>
          <w:color w:val="000000"/>
          <w:highlight w:val="none"/>
          <w:lang w:val="en-US" w:eastAsia="zh-CN"/>
        </w:rPr>
        <w:t>第四章</w:t>
      </w:r>
      <w:r>
        <w:rPr>
          <w:rFonts w:hint="eastAsia" w:ascii="仿宋" w:hAnsi="仿宋" w:eastAsia="仿宋" w:cs="仿宋"/>
          <w:color w:val="000000"/>
          <w:highlight w:val="none"/>
        </w:rPr>
        <w:t xml:space="preserve"> </w:t>
      </w:r>
      <w:bookmarkStart w:id="318" w:name="_Toc24553"/>
      <w:r>
        <w:rPr>
          <w:rFonts w:hint="eastAsia" w:ascii="仿宋" w:hAnsi="仿宋" w:eastAsia="仿宋" w:cs="仿宋"/>
          <w:color w:val="000000"/>
          <w:highlight w:val="none"/>
        </w:rPr>
        <w:t>合同条款及格式</w:t>
      </w:r>
      <w:bookmarkEnd w:id="311"/>
      <w:bookmarkEnd w:id="312"/>
      <w:bookmarkEnd w:id="313"/>
      <w:bookmarkEnd w:id="314"/>
      <w:bookmarkEnd w:id="315"/>
      <w:bookmarkEnd w:id="316"/>
      <w:bookmarkEnd w:id="317"/>
      <w:bookmarkEnd w:id="318"/>
    </w:p>
    <w:p w14:paraId="704AFD21">
      <w:pPr>
        <w:rPr>
          <w:rFonts w:hint="eastAsia" w:ascii="仿宋" w:hAnsi="仿宋" w:eastAsia="仿宋" w:cs="仿宋"/>
          <w:color w:val="000000"/>
          <w:highlight w:val="none"/>
        </w:rPr>
      </w:pPr>
    </w:p>
    <w:p w14:paraId="5B852DC4">
      <w:pPr>
        <w:pStyle w:val="3"/>
        <w:spacing w:before="0" w:after="0" w:line="360" w:lineRule="auto"/>
        <w:jc w:val="center"/>
        <w:rPr>
          <w:rFonts w:ascii="Times New Roman" w:hAnsi="Times New Roman" w:eastAsia="仿宋"/>
          <w:sz w:val="28"/>
          <w:szCs w:val="28"/>
        </w:rPr>
      </w:pPr>
      <w:bookmarkStart w:id="319" w:name="_Toc149"/>
      <w:bookmarkStart w:id="320" w:name="_Toc11647"/>
      <w:bookmarkStart w:id="321" w:name="_Toc18101"/>
      <w:bookmarkStart w:id="322" w:name="_Toc26576"/>
      <w:bookmarkStart w:id="323" w:name="_Toc20014"/>
      <w:bookmarkStart w:id="324" w:name="_Toc24489"/>
      <w:bookmarkStart w:id="325" w:name="_Toc12895"/>
      <w:bookmarkStart w:id="326" w:name="_Toc151393471"/>
      <w:bookmarkStart w:id="327" w:name="_Toc5006"/>
      <w:bookmarkStart w:id="328" w:name="_Toc17575"/>
      <w:bookmarkStart w:id="329" w:name="_Toc28927"/>
      <w:bookmarkStart w:id="330" w:name="_Toc26781085"/>
      <w:bookmarkStart w:id="331" w:name="_Toc29241"/>
      <w:bookmarkStart w:id="332" w:name="_Toc15928646"/>
      <w:bookmarkStart w:id="333" w:name="_Toc18259"/>
      <w:r>
        <w:rPr>
          <w:rFonts w:ascii="Times New Roman" w:hAnsi="Times New Roman" w:eastAsia="仿宋"/>
          <w:sz w:val="28"/>
          <w:szCs w:val="28"/>
        </w:rPr>
        <w:t>第一节</w:t>
      </w:r>
      <w:r>
        <w:rPr>
          <w:rFonts w:hint="eastAsia" w:ascii="Times New Roman" w:hAnsi="Times New Roman" w:eastAsia="仿宋"/>
          <w:sz w:val="28"/>
          <w:szCs w:val="28"/>
        </w:rPr>
        <w:t xml:space="preserve">  </w:t>
      </w:r>
      <w:r>
        <w:rPr>
          <w:rFonts w:ascii="Times New Roman" w:hAnsi="Times New Roman" w:eastAsia="仿宋"/>
          <w:sz w:val="28"/>
          <w:szCs w:val="28"/>
        </w:rPr>
        <w:t>合同条款</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A6B9AC9">
      <w:pPr>
        <w:ind w:firstLine="480" w:firstLineChars="200"/>
        <w:rPr>
          <w:rFonts w:hint="default" w:ascii="仿宋" w:hAnsi="仿宋" w:eastAsia="仿宋" w:cs="仿宋"/>
          <w:color w:val="000000"/>
          <w:highlight w:val="none"/>
          <w:lang w:val="en-US"/>
        </w:rPr>
      </w:pPr>
      <w:r>
        <w:rPr>
          <w:rFonts w:hint="eastAsia" w:ascii="仿宋" w:hAnsi="仿宋" w:eastAsia="仿宋" w:cs="仿宋"/>
          <w:color w:val="FF0000"/>
          <w:sz w:val="24"/>
          <w:szCs w:val="24"/>
        </w:rPr>
        <w:t>以“*”符号标记</w:t>
      </w:r>
      <w:r>
        <w:rPr>
          <w:rFonts w:hint="eastAsia" w:ascii="仿宋" w:hAnsi="仿宋" w:eastAsia="仿宋" w:cs="仿宋"/>
          <w:color w:val="FF0000"/>
          <w:sz w:val="24"/>
          <w:szCs w:val="24"/>
          <w:lang w:val="en-US" w:eastAsia="zh-CN"/>
        </w:rPr>
        <w:t>的合同条款为关键条款，</w:t>
      </w:r>
      <w:r>
        <w:rPr>
          <w:rFonts w:hint="eastAsia" w:ascii="仿宋" w:hAnsi="仿宋" w:eastAsia="仿宋" w:cs="仿宋"/>
          <w:color w:val="FF0000"/>
          <w:sz w:val="24"/>
          <w:szCs w:val="24"/>
        </w:rPr>
        <w:t>响应文件应当对合同</w:t>
      </w:r>
      <w:r>
        <w:rPr>
          <w:rFonts w:hint="eastAsia" w:ascii="仿宋" w:hAnsi="仿宋" w:eastAsia="仿宋" w:cs="仿宋"/>
          <w:color w:val="FF0000"/>
          <w:sz w:val="24"/>
          <w:szCs w:val="24"/>
          <w:lang w:val="en-US" w:eastAsia="zh-CN"/>
        </w:rPr>
        <w:t>条款</w:t>
      </w:r>
      <w:r>
        <w:rPr>
          <w:rFonts w:hint="eastAsia" w:ascii="仿宋" w:hAnsi="仿宋" w:eastAsia="仿宋" w:cs="仿宋"/>
          <w:color w:val="FF0000"/>
          <w:sz w:val="24"/>
          <w:szCs w:val="24"/>
        </w:rPr>
        <w:t>中的关键条款作出满足性或更有利于</w:t>
      </w:r>
      <w:r>
        <w:rPr>
          <w:rFonts w:hint="eastAsia" w:ascii="仿宋" w:hAnsi="仿宋" w:eastAsia="仿宋" w:cs="仿宋"/>
          <w:color w:val="FF0000"/>
          <w:sz w:val="24"/>
          <w:szCs w:val="24"/>
          <w:lang w:val="en-US" w:eastAsia="zh-CN"/>
        </w:rPr>
        <w:t>采购人</w:t>
      </w:r>
      <w:r>
        <w:rPr>
          <w:rFonts w:hint="eastAsia" w:ascii="仿宋" w:hAnsi="仿宋" w:eastAsia="仿宋" w:cs="仿宋"/>
          <w:color w:val="FF0000"/>
          <w:sz w:val="24"/>
          <w:szCs w:val="24"/>
        </w:rPr>
        <w:t>的响应，否则，</w:t>
      </w:r>
      <w:r>
        <w:rPr>
          <w:rFonts w:hint="eastAsia" w:ascii="仿宋" w:hAnsi="仿宋" w:eastAsia="仿宋" w:cs="仿宋"/>
          <w:color w:val="FF0000"/>
          <w:sz w:val="24"/>
          <w:szCs w:val="24"/>
          <w:lang w:val="en-US" w:eastAsia="zh-CN"/>
        </w:rPr>
        <w:t>供应商</w:t>
      </w:r>
      <w:r>
        <w:rPr>
          <w:rFonts w:hint="eastAsia" w:ascii="仿宋" w:hAnsi="仿宋" w:eastAsia="仿宋" w:cs="仿宋"/>
          <w:color w:val="FF0000"/>
          <w:sz w:val="24"/>
          <w:szCs w:val="24"/>
        </w:rPr>
        <w:t>的</w:t>
      </w:r>
      <w:r>
        <w:rPr>
          <w:rFonts w:hint="eastAsia" w:ascii="仿宋" w:hAnsi="仿宋" w:eastAsia="仿宋" w:cs="仿宋"/>
          <w:color w:val="FF0000"/>
          <w:sz w:val="24"/>
          <w:szCs w:val="24"/>
          <w:lang w:val="en-US" w:eastAsia="zh-CN"/>
        </w:rPr>
        <w:t>响应</w:t>
      </w:r>
      <w:r>
        <w:rPr>
          <w:rFonts w:hint="eastAsia" w:ascii="仿宋" w:hAnsi="仿宋" w:eastAsia="仿宋" w:cs="仿宋"/>
          <w:color w:val="FF0000"/>
          <w:sz w:val="24"/>
          <w:szCs w:val="24"/>
        </w:rPr>
        <w:t>文件将被</w:t>
      </w:r>
      <w:r>
        <w:rPr>
          <w:rFonts w:hint="eastAsia" w:ascii="仿宋" w:hAnsi="仿宋" w:eastAsia="仿宋" w:cs="仿宋"/>
          <w:color w:val="FF0000"/>
          <w:sz w:val="24"/>
          <w:szCs w:val="24"/>
          <w:lang w:val="en-US" w:eastAsia="zh-CN"/>
        </w:rPr>
        <w:t>视为无效</w:t>
      </w:r>
    </w:p>
    <w:p w14:paraId="633E2ED0">
      <w:pPr>
        <w:spacing w:line="360" w:lineRule="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u w:val="single"/>
        </w:rPr>
        <w:t>界首市恒居建设发展有限公司</w:t>
      </w:r>
    </w:p>
    <w:p w14:paraId="6AD1ED6A">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u w:val="single"/>
        </w:rPr>
        <w:t xml:space="preserve">                </w:t>
      </w:r>
    </w:p>
    <w:p w14:paraId="55DC4335">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界首市恒居建设发展有限公司</w:t>
      </w:r>
      <w:r>
        <w:rPr>
          <w:rFonts w:hint="eastAsia" w:ascii="仿宋" w:hAnsi="仿宋" w:eastAsia="仿宋" w:cs="仿宋"/>
          <w:color w:val="000000"/>
          <w:sz w:val="24"/>
          <w:szCs w:val="24"/>
          <w:highlight w:val="none"/>
        </w:rPr>
        <w:t>就</w:t>
      </w:r>
      <w:r>
        <w:rPr>
          <w:rFonts w:hint="eastAsia" w:ascii="仿宋" w:hAnsi="仿宋" w:eastAsia="仿宋" w:cs="仿宋"/>
          <w:color w:val="000000"/>
          <w:sz w:val="24"/>
          <w:szCs w:val="24"/>
          <w:highlight w:val="none"/>
          <w:u w:val="single"/>
        </w:rPr>
        <w:t>界首市恒居建设发展有限公司2024—2026年度财务年报审计项目</w:t>
      </w:r>
      <w:r>
        <w:rPr>
          <w:rFonts w:hint="eastAsia" w:ascii="仿宋" w:hAnsi="仿宋" w:eastAsia="仿宋" w:cs="仿宋"/>
          <w:color w:val="000000"/>
          <w:sz w:val="24"/>
          <w:szCs w:val="24"/>
          <w:highlight w:val="none"/>
        </w:rPr>
        <w:t>采用</w:t>
      </w:r>
      <w:r>
        <w:rPr>
          <w:rFonts w:hint="eastAsia" w:ascii="仿宋" w:hAnsi="仿宋" w:eastAsia="仿宋" w:cs="仿宋"/>
          <w:color w:val="000000"/>
          <w:sz w:val="24"/>
          <w:szCs w:val="24"/>
          <w:highlight w:val="none"/>
          <w:lang w:val="en-US" w:eastAsia="zh-CN"/>
        </w:rPr>
        <w:t>询比</w:t>
      </w:r>
      <w:r>
        <w:rPr>
          <w:rFonts w:hint="eastAsia" w:ascii="仿宋" w:hAnsi="仿宋" w:eastAsia="仿宋" w:cs="仿宋"/>
          <w:color w:val="000000"/>
          <w:sz w:val="24"/>
          <w:szCs w:val="24"/>
          <w:highlight w:val="none"/>
        </w:rPr>
        <w:t>的方式选择</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（乙方）作为服务单位。现甲乙双方协商同意签订本合同。</w:t>
      </w:r>
    </w:p>
    <w:p w14:paraId="5358F1E0">
      <w:pPr>
        <w:pStyle w:val="4"/>
        <w:numPr>
          <w:ilvl w:val="0"/>
          <w:numId w:val="2"/>
        </w:numPr>
        <w:rPr>
          <w:rFonts w:hint="eastAsia" w:ascii="仿宋" w:hAnsi="仿宋" w:eastAsia="仿宋" w:cs="仿宋"/>
          <w:color w:val="000000"/>
          <w:highlight w:val="none"/>
          <w:lang w:eastAsia="zh-CN"/>
        </w:rPr>
      </w:pPr>
      <w:bookmarkStart w:id="334" w:name="_Toc5925"/>
      <w:bookmarkStart w:id="335" w:name="_Toc25182"/>
      <w:bookmarkStart w:id="336" w:name="_Toc8412"/>
      <w:r>
        <w:rPr>
          <w:rFonts w:hint="eastAsia" w:ascii="仿宋" w:hAnsi="仿宋" w:eastAsia="仿宋" w:cs="仿宋"/>
          <w:color w:val="000000"/>
          <w:highlight w:val="none"/>
          <w:lang w:eastAsia="zh-CN"/>
        </w:rPr>
        <w:t>合同文件</w:t>
      </w:r>
      <w:bookmarkEnd w:id="334"/>
      <w:bookmarkEnd w:id="335"/>
      <w:bookmarkEnd w:id="336"/>
    </w:p>
    <w:p w14:paraId="3215C2DC">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下列与本次</w:t>
      </w:r>
      <w:r>
        <w:rPr>
          <w:rFonts w:hint="eastAsia" w:ascii="仿宋" w:hAnsi="仿宋" w:eastAsia="仿宋" w:cs="仿宋"/>
          <w:sz w:val="24"/>
          <w:szCs w:val="24"/>
          <w:lang w:val="en-US" w:eastAsia="zh-CN"/>
        </w:rPr>
        <w:t>询比</w:t>
      </w:r>
      <w:r>
        <w:rPr>
          <w:rFonts w:hint="eastAsia" w:ascii="仿宋" w:hAnsi="仿宋" w:eastAsia="仿宋" w:cs="仿宋"/>
          <w:sz w:val="24"/>
          <w:szCs w:val="24"/>
        </w:rPr>
        <w:t>采购活动有关的文件及附件是本合同不可分割的组成部分，与本合同具有同等法律效力，这些文件包括但不限于：</w:t>
      </w:r>
    </w:p>
    <w:p w14:paraId="40807C3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）本合同及其补充合同、变更协议；</w:t>
      </w:r>
    </w:p>
    <w:p w14:paraId="02738390">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）成交通知书；</w:t>
      </w:r>
    </w:p>
    <w:p w14:paraId="4706681D">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采购</w:t>
      </w:r>
      <w:r>
        <w:rPr>
          <w:rFonts w:hint="eastAsia" w:ascii="仿宋" w:hAnsi="仿宋" w:eastAsia="仿宋" w:cs="仿宋"/>
          <w:sz w:val="24"/>
          <w:szCs w:val="24"/>
        </w:rPr>
        <w:t>文件及附件（含澄清或者修改文件）；</w:t>
      </w:r>
    </w:p>
    <w:p w14:paraId="2030000D">
      <w:p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响应</w:t>
      </w:r>
      <w:r>
        <w:rPr>
          <w:rFonts w:hint="eastAsia" w:ascii="仿宋" w:hAnsi="仿宋" w:eastAsia="仿宋" w:cs="仿宋"/>
          <w:sz w:val="24"/>
          <w:szCs w:val="24"/>
        </w:rPr>
        <w:t>文件及附件（含澄清或者说明文件）</w:t>
      </w:r>
      <w:r>
        <w:rPr>
          <w:rFonts w:hint="eastAsia" w:ascii="仿宋" w:hAnsi="仿宋" w:eastAsia="仿宋" w:cs="仿宋"/>
          <w:sz w:val="24"/>
          <w:szCs w:val="24"/>
          <w:lang w:val="en-US" w:eastAsia="zh-CN"/>
        </w:rPr>
        <w:t>;</w:t>
      </w:r>
    </w:p>
    <w:p w14:paraId="3B56C199">
      <w:pPr>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其他合同文件。</w:t>
      </w:r>
    </w:p>
    <w:p w14:paraId="02B0F51C">
      <w:pPr>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上述合同文件互相补充和解释。如果合同文件之间存在矛盾或不一致之处，以上述文件的排列顺序在先者为准。</w:t>
      </w:r>
    </w:p>
    <w:p w14:paraId="6CFB707E">
      <w:pPr>
        <w:pStyle w:val="4"/>
        <w:rPr>
          <w:rFonts w:hint="eastAsia" w:ascii="仿宋" w:hAnsi="仿宋" w:eastAsia="仿宋" w:cs="仿宋"/>
          <w:color w:val="000000"/>
          <w:highlight w:val="none"/>
          <w:lang w:eastAsia="zh-CN"/>
        </w:rPr>
      </w:pPr>
      <w:bookmarkStart w:id="337" w:name="_Toc13822"/>
      <w:bookmarkStart w:id="338" w:name="_Toc13852"/>
      <w:bookmarkStart w:id="339" w:name="_Toc15733"/>
      <w:r>
        <w:rPr>
          <w:rFonts w:hint="eastAsia" w:ascii="仿宋" w:hAnsi="仿宋" w:eastAsia="仿宋" w:cs="仿宋"/>
          <w:color w:val="000000"/>
          <w:highlight w:val="none"/>
          <w:lang w:eastAsia="zh-CN"/>
        </w:rPr>
        <w:t>2. 合同范围</w:t>
      </w:r>
      <w:bookmarkEnd w:id="337"/>
      <w:bookmarkEnd w:id="338"/>
      <w:bookmarkEnd w:id="339"/>
    </w:p>
    <w:p w14:paraId="6C57C5A5">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甲方委托乙方提供以下服务： </w:t>
      </w:r>
    </w:p>
    <w:p w14:paraId="69F89F57">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 服务名称：</w:t>
      </w:r>
      <w:r>
        <w:rPr>
          <w:rFonts w:hint="eastAsia" w:ascii="仿宋" w:hAnsi="仿宋" w:eastAsia="仿宋" w:cs="仿宋"/>
          <w:color w:val="000000"/>
          <w:sz w:val="24"/>
          <w:szCs w:val="24"/>
          <w:highlight w:val="none"/>
          <w:u w:val="single"/>
        </w:rPr>
        <w:t>界首市恒居建设发展有限公司2024—2026年度财务年报审计项目</w:t>
      </w:r>
      <w:r>
        <w:rPr>
          <w:rFonts w:hint="eastAsia" w:ascii="仿宋" w:hAnsi="仿宋" w:eastAsia="仿宋" w:cs="仿宋"/>
          <w:color w:val="000000"/>
          <w:sz w:val="24"/>
          <w:szCs w:val="24"/>
          <w:highlight w:val="none"/>
        </w:rPr>
        <w:t>。</w:t>
      </w:r>
    </w:p>
    <w:p w14:paraId="7D92D90C">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 服务内容：</w:t>
      </w:r>
      <w:r>
        <w:rPr>
          <w:rFonts w:hint="eastAsia" w:ascii="仿宋" w:hAnsi="仿宋" w:eastAsia="仿宋" w:cs="仿宋"/>
          <w:color w:val="000000"/>
          <w:sz w:val="24"/>
          <w:szCs w:val="24"/>
          <w:highlight w:val="none"/>
          <w:u w:val="single"/>
        </w:rPr>
        <w:t>界首市恒居建设发展有限公司2024——2026年度财务年报审计报告及季报编制工作,审计报告电子版及纸质版归采购人所有</w:t>
      </w:r>
      <w:r>
        <w:rPr>
          <w:rFonts w:hint="eastAsia" w:ascii="仿宋" w:hAnsi="仿宋" w:eastAsia="仿宋" w:cs="仿宋"/>
          <w:color w:val="000000"/>
          <w:sz w:val="24"/>
          <w:szCs w:val="24"/>
          <w:highlight w:val="none"/>
          <w:u w:val="single"/>
          <w:lang w:eastAsia="zh-CN"/>
        </w:rPr>
        <w:t>，</w:t>
      </w:r>
      <w:r>
        <w:rPr>
          <w:rFonts w:hint="eastAsia" w:ascii="仿宋" w:hAnsi="仿宋" w:eastAsia="仿宋" w:cs="仿宋"/>
          <w:color w:val="000000"/>
          <w:sz w:val="24"/>
          <w:szCs w:val="24"/>
          <w:highlight w:val="none"/>
          <w:u w:val="single"/>
          <w:lang w:val="en-US" w:eastAsia="zh-CN"/>
        </w:rPr>
        <w:t>其中2024年须提供年报审计报告，2025年-2026年须提供年报审计报告和</w:t>
      </w:r>
      <w:r>
        <w:rPr>
          <w:rFonts w:hint="eastAsia" w:ascii="仿宋" w:hAnsi="仿宋" w:eastAsia="仿宋" w:cs="仿宋"/>
          <w:color w:val="000000"/>
          <w:sz w:val="24"/>
          <w:szCs w:val="24"/>
          <w:highlight w:val="none"/>
          <w:u w:val="single"/>
        </w:rPr>
        <w:t>季报</w:t>
      </w:r>
      <w:r>
        <w:rPr>
          <w:rFonts w:hint="eastAsia" w:ascii="仿宋" w:hAnsi="仿宋" w:eastAsia="仿宋" w:cs="仿宋"/>
          <w:color w:val="000000"/>
          <w:sz w:val="24"/>
          <w:szCs w:val="24"/>
          <w:highlight w:val="none"/>
          <w:u w:val="single"/>
          <w:lang w:val="en-US" w:eastAsia="zh-CN"/>
        </w:rPr>
        <w:t>审计报告</w:t>
      </w:r>
      <w:r>
        <w:rPr>
          <w:rFonts w:hint="eastAsia" w:ascii="仿宋" w:hAnsi="仿宋" w:eastAsia="仿宋" w:cs="仿宋"/>
          <w:color w:val="000000"/>
          <w:sz w:val="24"/>
          <w:szCs w:val="24"/>
          <w:highlight w:val="none"/>
        </w:rPr>
        <w:t>。</w:t>
      </w:r>
    </w:p>
    <w:p w14:paraId="2B67CFC6">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 服务要求：</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24F4451A">
      <w:pPr>
        <w:tabs>
          <w:tab w:val="left" w:pos="8987"/>
        </w:tabs>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 服务期限：</w:t>
      </w:r>
      <w:r>
        <w:rPr>
          <w:rFonts w:hint="eastAsia" w:ascii="仿宋" w:hAnsi="仿宋" w:eastAsia="仿宋" w:cs="仿宋"/>
          <w:color w:val="000000"/>
          <w:sz w:val="24"/>
          <w:szCs w:val="24"/>
          <w:highlight w:val="none"/>
          <w:u w:val="single"/>
        </w:rPr>
        <w:t>3年，每个年度财务审计报告在收到采购人通知后30个日历天内完成全财务审计报告编制工作并提交成果文件；每个季度财务审计报告在收到采购人通知后7个日历天内完成全财务审计报告编制工作并提交成果文件</w:t>
      </w:r>
      <w:r>
        <w:rPr>
          <w:rFonts w:hint="eastAsia" w:ascii="仿宋" w:hAnsi="仿宋" w:eastAsia="仿宋" w:cs="仿宋"/>
          <w:color w:val="000000"/>
          <w:sz w:val="24"/>
          <w:szCs w:val="24"/>
          <w:highlight w:val="none"/>
        </w:rPr>
        <w:t>。</w:t>
      </w:r>
    </w:p>
    <w:p w14:paraId="2D55D9D5">
      <w:pPr>
        <w:tabs>
          <w:tab w:val="left" w:pos="8987"/>
        </w:tabs>
        <w:adjustRightInd w:val="0"/>
        <w:snapToGrid w:val="0"/>
        <w:spacing w:line="360" w:lineRule="auto"/>
        <w:ind w:firstLine="480" w:firstLineChars="200"/>
        <w:rPr>
          <w:rFonts w:hint="eastAsia" w:ascii="仿宋" w:hAnsi="仿宋" w:eastAsia="仿宋" w:cs="仿宋"/>
          <w:color w:val="000000"/>
          <w:szCs w:val="21"/>
          <w:highlight w:val="none"/>
          <w:lang w:eastAsia="zh-CN"/>
        </w:rPr>
      </w:pPr>
      <w:r>
        <w:rPr>
          <w:rFonts w:hint="eastAsia" w:ascii="仿宋" w:hAnsi="仿宋" w:eastAsia="仿宋" w:cs="仿宋"/>
          <w:color w:val="000000"/>
          <w:sz w:val="24"/>
          <w:szCs w:val="24"/>
          <w:highlight w:val="none"/>
          <w:lang w:val="en-US" w:eastAsia="zh-CN"/>
        </w:rPr>
        <w:t xml:space="preserve">2.5 </w:t>
      </w:r>
      <w:r>
        <w:rPr>
          <w:rFonts w:hint="eastAsia" w:ascii="仿宋" w:hAnsi="仿宋" w:eastAsia="仿宋" w:cs="仿宋"/>
          <w:color w:val="000000"/>
          <w:sz w:val="24"/>
          <w:szCs w:val="24"/>
          <w:highlight w:val="none"/>
        </w:rPr>
        <w:t>服务</w:t>
      </w:r>
      <w:r>
        <w:rPr>
          <w:rFonts w:hint="eastAsia" w:ascii="仿宋" w:hAnsi="仿宋" w:eastAsia="仿宋" w:cs="仿宋"/>
          <w:color w:val="000000"/>
          <w:sz w:val="24"/>
          <w:szCs w:val="24"/>
          <w:highlight w:val="none"/>
          <w:lang w:val="en-US" w:eastAsia="zh-CN"/>
        </w:rPr>
        <w:t>质量</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ab/>
      </w:r>
    </w:p>
    <w:p w14:paraId="017969F4">
      <w:pPr>
        <w:pStyle w:val="4"/>
        <w:rPr>
          <w:rFonts w:hint="eastAsia" w:ascii="仿宋" w:hAnsi="仿宋" w:eastAsia="仿宋" w:cs="仿宋"/>
          <w:color w:val="000000"/>
          <w:highlight w:val="none"/>
          <w:lang w:eastAsia="zh-CN"/>
        </w:rPr>
      </w:pPr>
      <w:bookmarkStart w:id="340" w:name="_Toc20813"/>
      <w:bookmarkStart w:id="341" w:name="_Toc23879"/>
      <w:bookmarkStart w:id="342" w:name="_Toc4265"/>
      <w:r>
        <w:rPr>
          <w:rFonts w:hint="eastAsia" w:ascii="仿宋" w:hAnsi="仿宋" w:eastAsia="仿宋" w:cs="仿宋"/>
          <w:color w:val="000000"/>
          <w:highlight w:val="none"/>
          <w:lang w:eastAsia="zh-CN"/>
        </w:rPr>
        <w:t>3. 合同价格</w:t>
      </w:r>
      <w:bookmarkEnd w:id="340"/>
      <w:bookmarkEnd w:id="341"/>
      <w:bookmarkEnd w:id="342"/>
    </w:p>
    <w:p w14:paraId="7A456FCC">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 合同价格为（大写）：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元</w:t>
      </w:r>
      <w:r>
        <w:rPr>
          <w:rFonts w:hint="eastAsia" w:ascii="仿宋" w:hAnsi="仿宋" w:eastAsia="仿宋" w:cs="仿宋"/>
          <w:color w:val="000000"/>
          <w:sz w:val="24"/>
          <w:szCs w:val="24"/>
          <w:highlight w:val="none"/>
          <w:lang w:val="en-US" w:eastAsia="zh-CN"/>
        </w:rPr>
        <w:t>每年</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/年</w:t>
      </w:r>
      <w:r>
        <w:rPr>
          <w:rFonts w:hint="eastAsia" w:ascii="仿宋" w:hAnsi="仿宋" w:eastAsia="仿宋" w:cs="仿宋"/>
          <w:color w:val="000000"/>
          <w:sz w:val="24"/>
          <w:szCs w:val="24"/>
          <w:highlight w:val="none"/>
        </w:rPr>
        <w:t>）人民币。</w:t>
      </w:r>
    </w:p>
    <w:p w14:paraId="38F11235">
      <w:pPr>
        <w:snapToGrid w:val="0"/>
        <w:spacing w:line="360" w:lineRule="auto"/>
        <w:ind w:firstLine="480" w:firstLineChars="200"/>
        <w:rPr>
          <w:rFonts w:hint="default"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rPr>
        <w:t>3.2 合同价格包括的内容：</w:t>
      </w:r>
      <w:r>
        <w:rPr>
          <w:rFonts w:hint="eastAsia" w:ascii="仿宋" w:hAnsi="仿宋" w:eastAsia="仿宋" w:cs="仿宋"/>
          <w:color w:val="000000"/>
          <w:sz w:val="24"/>
          <w:szCs w:val="24"/>
          <w:highlight w:val="none"/>
          <w:u w:val="single"/>
          <w:lang w:val="en-US" w:eastAsia="zh-CN"/>
        </w:rPr>
        <w:t>合同价为1年服务期内完成所有</w:t>
      </w:r>
      <w:r>
        <w:rPr>
          <w:rFonts w:hint="eastAsia" w:ascii="仿宋" w:hAnsi="仿宋" w:eastAsia="仿宋" w:cs="仿宋"/>
          <w:color w:val="000000"/>
          <w:sz w:val="24"/>
          <w:szCs w:val="24"/>
          <w:highlight w:val="none"/>
          <w:u w:val="single"/>
        </w:rPr>
        <w:t>季度财务审计报告</w:t>
      </w:r>
      <w:r>
        <w:rPr>
          <w:rFonts w:hint="eastAsia" w:ascii="仿宋" w:hAnsi="仿宋" w:eastAsia="仿宋" w:cs="仿宋"/>
          <w:color w:val="000000"/>
          <w:sz w:val="24"/>
          <w:szCs w:val="24"/>
          <w:highlight w:val="none"/>
          <w:u w:val="single"/>
          <w:lang w:val="en-US" w:eastAsia="zh-CN"/>
        </w:rPr>
        <w:t>和</w:t>
      </w:r>
      <w:r>
        <w:rPr>
          <w:rFonts w:hint="eastAsia" w:ascii="仿宋" w:hAnsi="仿宋" w:eastAsia="仿宋" w:cs="仿宋"/>
          <w:color w:val="000000"/>
          <w:sz w:val="24"/>
          <w:szCs w:val="24"/>
          <w:highlight w:val="none"/>
          <w:u w:val="single"/>
        </w:rPr>
        <w:t>年度财务审计报告</w:t>
      </w:r>
      <w:r>
        <w:rPr>
          <w:rFonts w:hint="eastAsia" w:ascii="仿宋" w:hAnsi="仿宋" w:eastAsia="仿宋" w:cs="仿宋"/>
          <w:color w:val="000000"/>
          <w:sz w:val="24"/>
          <w:szCs w:val="24"/>
          <w:highlight w:val="none"/>
          <w:u w:val="single"/>
          <w:lang w:val="en-US" w:eastAsia="zh-CN"/>
        </w:rPr>
        <w:t>的一切费用。</w:t>
      </w:r>
    </w:p>
    <w:p w14:paraId="12855A7C">
      <w:pPr>
        <w:snapToGrid w:val="0"/>
        <w:spacing w:line="360" w:lineRule="auto"/>
        <w:ind w:firstLine="480" w:firstLineChars="200"/>
        <w:rPr>
          <w:rFonts w:hint="default" w:ascii="Times New Roman" w:hAnsi="Times New Roman" w:eastAsia="仿宋"/>
          <w:bCs/>
          <w:sz w:val="24"/>
          <w:szCs w:val="24"/>
          <w:u w:val="single"/>
          <w:lang w:val="en-US" w:eastAsia="zh-CN"/>
        </w:rPr>
      </w:pPr>
      <w:r>
        <w:rPr>
          <w:rFonts w:hint="eastAsia" w:ascii="仿宋" w:hAnsi="仿宋" w:eastAsia="仿宋" w:cs="仿宋"/>
          <w:color w:val="000000"/>
          <w:sz w:val="24"/>
          <w:szCs w:val="24"/>
          <w:highlight w:val="none"/>
        </w:rPr>
        <w:t>3.3 合同价格</w:t>
      </w:r>
      <w:r>
        <w:rPr>
          <w:rFonts w:hint="eastAsia" w:ascii="仿宋" w:hAnsi="仿宋" w:eastAsia="仿宋" w:cs="仿宋"/>
          <w:color w:val="000000"/>
          <w:sz w:val="24"/>
          <w:szCs w:val="24"/>
          <w:highlight w:val="none"/>
          <w:lang w:val="en-US" w:eastAsia="zh-CN"/>
        </w:rPr>
        <w:t>形式</w:t>
      </w:r>
      <w:r>
        <w:rPr>
          <w:rFonts w:hint="eastAsia" w:ascii="仿宋" w:hAnsi="仿宋" w:eastAsia="仿宋" w:cs="仿宋"/>
          <w:color w:val="000000"/>
          <w:sz w:val="24"/>
          <w:szCs w:val="24"/>
          <w:highlight w:val="none"/>
        </w:rPr>
        <w:t>：</w:t>
      </w:r>
      <w:r>
        <w:rPr>
          <w:rFonts w:hint="eastAsia" w:ascii="Times New Roman" w:hAnsi="Times New Roman" w:eastAsia="仿宋"/>
          <w:bCs/>
          <w:sz w:val="24"/>
          <w:szCs w:val="24"/>
          <w:u w:val="single"/>
        </w:rPr>
        <w:t>固定价格</w:t>
      </w:r>
    </w:p>
    <w:p w14:paraId="2C387CE2">
      <w:pPr>
        <w:pStyle w:val="4"/>
        <w:rPr>
          <w:rFonts w:hint="eastAsia" w:ascii="仿宋" w:hAnsi="仿宋" w:eastAsia="仿宋" w:cs="仿宋"/>
          <w:color w:val="000000"/>
          <w:highlight w:val="none"/>
          <w:lang w:eastAsia="zh-CN"/>
        </w:rPr>
      </w:pPr>
      <w:bookmarkStart w:id="343" w:name="_Toc28510"/>
      <w:bookmarkStart w:id="344" w:name="_Toc29363"/>
      <w:bookmarkStart w:id="345" w:name="_Toc11704"/>
      <w:r>
        <w:rPr>
          <w:rFonts w:hint="eastAsia" w:ascii="仿宋" w:hAnsi="仿宋" w:eastAsia="仿宋" w:cs="仿宋"/>
          <w:color w:val="000000"/>
          <w:highlight w:val="none"/>
          <w:lang w:eastAsia="zh-CN"/>
        </w:rPr>
        <w:t>4. 付款方式</w:t>
      </w:r>
      <w:bookmarkEnd w:id="343"/>
      <w:bookmarkEnd w:id="344"/>
      <w:bookmarkEnd w:id="345"/>
    </w:p>
    <w:p w14:paraId="336C9895">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 本合同项下所有款项均以人民币支付。</w:t>
      </w:r>
    </w:p>
    <w:p w14:paraId="53B22A1C">
      <w:pPr>
        <w:adjustRightInd w:val="0"/>
        <w:snapToGrid w:val="0"/>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4.2 支付方式：每个年度内财务决算审计报告编制工作完成并提交成果文件后7个工作日内一次性支付。</w:t>
      </w:r>
    </w:p>
    <w:p w14:paraId="30FFFAE2">
      <w:pPr>
        <w:pStyle w:val="4"/>
        <w:rPr>
          <w:rFonts w:hint="eastAsia" w:ascii="仿宋" w:hAnsi="仿宋" w:eastAsia="仿宋" w:cs="仿宋"/>
          <w:color w:val="000000"/>
          <w:highlight w:val="none"/>
          <w:lang w:eastAsia="zh-CN"/>
        </w:rPr>
      </w:pPr>
      <w:bookmarkStart w:id="346" w:name="_Toc28052"/>
      <w:bookmarkStart w:id="347" w:name="_Toc5958"/>
      <w:bookmarkStart w:id="348" w:name="_Toc4764"/>
      <w:r>
        <w:rPr>
          <w:rFonts w:hint="eastAsia" w:ascii="仿宋" w:hAnsi="仿宋" w:eastAsia="仿宋" w:cs="仿宋"/>
          <w:color w:val="000000"/>
          <w:highlight w:val="none"/>
          <w:lang w:eastAsia="zh-CN"/>
        </w:rPr>
        <w:t>5. 合同文件和资料的使用</w:t>
      </w:r>
      <w:bookmarkEnd w:id="346"/>
      <w:bookmarkEnd w:id="347"/>
      <w:bookmarkEnd w:id="348"/>
    </w:p>
    <w:p w14:paraId="6BC6CDE9">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 没有甲方书面同意，乙方不得将甲方或代表甲方提供的有关合同或任何合同条文、技术规格和要求、计划、图纸、模型、样品或资料提供给与履行本合同无关的任何其他人。即使向与履行本合同有关的人员提供，也应注意保密并限于履行合同必须的范围。</w:t>
      </w:r>
    </w:p>
    <w:p w14:paraId="2CF87A11">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 没有甲方书面同意，除了履行本合同外，乙方不应使用合同条款第3.1款所列举的任何文件和资料。如果甲方有要求，除了合同本身以外，乙方在完成合同后应将这些文件及全部复制件还给甲方。</w:t>
      </w:r>
    </w:p>
    <w:p w14:paraId="53E7F34F">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 乙方的技术秘密、商业秘密和声明需要保密的资料和信息，甲方不得为合同以外的目的泄露给他人。</w:t>
      </w:r>
    </w:p>
    <w:p w14:paraId="7016F141">
      <w:pPr>
        <w:pStyle w:val="4"/>
        <w:rPr>
          <w:rFonts w:hint="eastAsia" w:ascii="仿宋" w:hAnsi="仿宋" w:eastAsia="仿宋" w:cs="仿宋"/>
          <w:color w:val="000000"/>
          <w:highlight w:val="none"/>
          <w:lang w:eastAsia="zh-CN"/>
        </w:rPr>
      </w:pPr>
      <w:bookmarkStart w:id="349" w:name="_Toc152"/>
      <w:bookmarkStart w:id="350" w:name="_Toc31268"/>
      <w:bookmarkStart w:id="351" w:name="_Toc20360"/>
      <w:r>
        <w:rPr>
          <w:rFonts w:hint="eastAsia" w:ascii="仿宋" w:hAnsi="仿宋" w:eastAsia="仿宋" w:cs="仿宋"/>
          <w:color w:val="000000"/>
          <w:highlight w:val="none"/>
          <w:lang w:eastAsia="zh-CN"/>
        </w:rPr>
        <w:t>6. 知识产权</w:t>
      </w:r>
      <w:bookmarkEnd w:id="349"/>
      <w:bookmarkEnd w:id="350"/>
      <w:bookmarkEnd w:id="351"/>
    </w:p>
    <w:p w14:paraId="41B96606">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 乙方应保证，甲方使用本合同</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的任何一部分时，免受第三方提出的侵犯其专利权、商标权、著作权或其他知识产权的起诉。</w:t>
      </w:r>
    </w:p>
    <w:p w14:paraId="1E56DDEB">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 如果发生第三方就乙方向甲方提供的本合同项下所涉及的货物及服务对甲方进行侵权指控，乙方应承担由此而引起的一切经济和法律责任。</w:t>
      </w:r>
    </w:p>
    <w:p w14:paraId="483BFAB3">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6.3 乙方在投标中采用专利技术的，专利技术的使用费包含在合同总价内。</w:t>
      </w:r>
    </w:p>
    <w:p w14:paraId="2A85DFCB">
      <w:pPr>
        <w:pStyle w:val="4"/>
        <w:rPr>
          <w:rFonts w:hint="eastAsia" w:ascii="仿宋" w:hAnsi="仿宋" w:eastAsia="仿宋" w:cs="仿宋"/>
          <w:color w:val="000000"/>
          <w:highlight w:val="none"/>
          <w:lang w:eastAsia="zh-CN"/>
        </w:rPr>
      </w:pPr>
      <w:bookmarkStart w:id="352" w:name="_Toc19848"/>
      <w:bookmarkStart w:id="353" w:name="_Toc23073"/>
      <w:bookmarkStart w:id="354" w:name="_Toc19260"/>
      <w:r>
        <w:rPr>
          <w:rFonts w:hint="eastAsia" w:ascii="仿宋" w:hAnsi="仿宋" w:eastAsia="仿宋" w:cs="仿宋"/>
          <w:color w:val="000000"/>
          <w:highlight w:val="none"/>
          <w:lang w:eastAsia="zh-CN"/>
        </w:rPr>
        <w:t>7.联络</w:t>
      </w:r>
      <w:bookmarkEnd w:id="352"/>
      <w:bookmarkEnd w:id="353"/>
      <w:bookmarkEnd w:id="354"/>
    </w:p>
    <w:p w14:paraId="5B94615E">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 甲方对乙方的合同履行情况进行督促和检查。</w:t>
      </w:r>
    </w:p>
    <w:p w14:paraId="56EAC07D">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 乙方应设乙方代表，负责服务环节的业务协调以及与甲方的联络，并在合同生效后10天内向甲方书面提供乙方代表的姓名、职务、联系方式及授权书。</w:t>
      </w:r>
    </w:p>
    <w:p w14:paraId="05AF6633">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 乙方代表的变更、撤销应获得甲方的书面认可。甲方有权根据乙方代表的工作情况，提出撤换人员的要求。乙方应根据第 7.2 款的要求尽快重新任命上述人员，在新任人员到位前原乙方代表继续承担第 7.2 款的职责。</w:t>
      </w:r>
    </w:p>
    <w:p w14:paraId="4122CA3E">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 甲乙双方通过代表联络与履行合同有关事宜均应采用书面形式。</w:t>
      </w:r>
    </w:p>
    <w:p w14:paraId="43842C31">
      <w:pPr>
        <w:pStyle w:val="4"/>
        <w:rPr>
          <w:rFonts w:hint="eastAsia" w:ascii="仿宋" w:hAnsi="仿宋" w:eastAsia="仿宋" w:cs="仿宋"/>
          <w:color w:val="000000"/>
          <w:highlight w:val="none"/>
          <w:lang w:eastAsia="zh-CN"/>
        </w:rPr>
      </w:pPr>
      <w:bookmarkStart w:id="355" w:name="_Toc31762"/>
      <w:bookmarkStart w:id="356" w:name="_Toc26466"/>
      <w:bookmarkStart w:id="357" w:name="_Toc14011"/>
      <w:r>
        <w:rPr>
          <w:rFonts w:hint="eastAsia" w:ascii="仿宋" w:hAnsi="仿宋" w:eastAsia="仿宋" w:cs="仿宋"/>
          <w:color w:val="000000"/>
          <w:highlight w:val="none"/>
          <w:lang w:eastAsia="zh-CN"/>
        </w:rPr>
        <w:t>8. 计划和报告</w:t>
      </w:r>
      <w:bookmarkEnd w:id="355"/>
      <w:bookmarkEnd w:id="356"/>
      <w:bookmarkEnd w:id="357"/>
    </w:p>
    <w:p w14:paraId="36436377">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8.1 合同签订后</w:t>
      </w:r>
      <w:r>
        <w:rPr>
          <w:rFonts w:hint="eastAsia" w:ascii="仿宋" w:hAnsi="仿宋" w:eastAsia="仿宋" w:cs="仿宋"/>
          <w:color w:val="000000"/>
          <w:sz w:val="24"/>
          <w:szCs w:val="24"/>
          <w:highlight w:val="none"/>
          <w:u w:val="single"/>
          <w:lang w:val="en-US" w:eastAsia="zh-CN"/>
        </w:rPr>
        <w:t>7</w:t>
      </w:r>
      <w:r>
        <w:rPr>
          <w:rFonts w:hint="eastAsia" w:ascii="仿宋" w:hAnsi="仿宋" w:eastAsia="仿宋" w:cs="仿宋"/>
          <w:color w:val="000000"/>
          <w:sz w:val="24"/>
          <w:szCs w:val="24"/>
          <w:highlight w:val="none"/>
        </w:rPr>
        <w:t>日内，乙方向甲方提供服务方案。如甲方认为需要调整，乙方应根据要求修改方案。</w:t>
      </w:r>
    </w:p>
    <w:p w14:paraId="6A3FD498">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8.2 乙方应根据供应需求计划，按合同约定的时间向甲方提交进度报告。进度报告应包括：</w:t>
      </w:r>
    </w:p>
    <w:p w14:paraId="7F5A983E">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（1）服务安排计划；</w:t>
      </w:r>
    </w:p>
    <w:p w14:paraId="22A84B04">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（2）实际完成进度与计划完成进度的比较；</w:t>
      </w:r>
    </w:p>
    <w:p w14:paraId="6356EE26">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（3）如果实际进度比计划进度滞后，应给出原因及改进措施。</w:t>
      </w:r>
    </w:p>
    <w:p w14:paraId="01AB5165">
      <w:pPr>
        <w:pStyle w:val="4"/>
        <w:rPr>
          <w:rFonts w:hint="eastAsia" w:ascii="仿宋" w:hAnsi="仿宋" w:eastAsia="仿宋" w:cs="仿宋"/>
          <w:color w:val="000000"/>
          <w:highlight w:val="none"/>
          <w:lang w:eastAsia="zh-CN"/>
        </w:rPr>
      </w:pPr>
      <w:bookmarkStart w:id="358" w:name="_Toc31370"/>
      <w:bookmarkStart w:id="359" w:name="_Toc10303"/>
      <w:bookmarkStart w:id="360" w:name="_Toc12570"/>
      <w:r>
        <w:rPr>
          <w:rFonts w:hint="eastAsia" w:ascii="仿宋" w:hAnsi="仿宋" w:eastAsia="仿宋" w:cs="仿宋"/>
          <w:color w:val="000000"/>
          <w:highlight w:val="none"/>
          <w:lang w:eastAsia="zh-CN"/>
        </w:rPr>
        <w:t>9. 验收</w:t>
      </w:r>
      <w:bookmarkEnd w:id="358"/>
      <w:bookmarkEnd w:id="359"/>
      <w:bookmarkEnd w:id="360"/>
    </w:p>
    <w:p w14:paraId="3289F75E">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9.1甲方对乙方提供的服务进行验收。</w:t>
      </w:r>
    </w:p>
    <w:p w14:paraId="797A8AF9">
      <w:pPr>
        <w:snapToGrid w:val="0"/>
        <w:spacing w:line="360" w:lineRule="auto"/>
        <w:ind w:firstLine="480" w:firstLineChars="2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验收时间：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783B5328">
      <w:pPr>
        <w:snapToGrid w:val="0"/>
        <w:spacing w:line="360" w:lineRule="auto"/>
        <w:ind w:firstLine="720" w:firstLineChars="3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验收地点：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7B45361A">
      <w:pPr>
        <w:snapToGrid w:val="0"/>
        <w:spacing w:line="360" w:lineRule="auto"/>
        <w:ind w:firstLine="720" w:firstLineChars="3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验收方式：</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1900A91F">
      <w:pPr>
        <w:pStyle w:val="15"/>
        <w:tabs>
          <w:tab w:val="left" w:pos="0"/>
        </w:tabs>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9.2 乙方应对提供的服务成果作出全面自查和整理，并列出清单，作为甲方验收和使用的技术条件依据，清单应随提供的服务成果交给甲方。</w:t>
      </w:r>
    </w:p>
    <w:p w14:paraId="32CAC7C6">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9.3 验收时，甲乙双方必须同时在场，乙方所提供的服务不符合合同内容规定的，甲方有权拒绝验收。乙方应及时按本合同内容规定和甲方要求免费进行整改，直至验收合格，方视为乙方按本合同规定完成服务。在经过两次限期整改后，服务仍达不到合同文件规定内容的，甲方有权拒收，并可以解除合同；由此引起甲方损失及赔偿责任由乙方承担。</w:t>
      </w:r>
    </w:p>
    <w:p w14:paraId="0BA03CCA">
      <w:pPr>
        <w:pStyle w:val="4"/>
        <w:rPr>
          <w:rFonts w:hint="eastAsia" w:ascii="仿宋" w:hAnsi="仿宋" w:eastAsia="仿宋" w:cs="仿宋"/>
          <w:color w:val="000000"/>
          <w:highlight w:val="none"/>
          <w:lang w:eastAsia="zh-CN"/>
        </w:rPr>
      </w:pPr>
      <w:bookmarkStart w:id="361" w:name="_Toc13544"/>
      <w:bookmarkStart w:id="362" w:name="_Toc5199"/>
      <w:bookmarkStart w:id="363" w:name="_Toc21928"/>
      <w:r>
        <w:rPr>
          <w:rFonts w:hint="eastAsia" w:ascii="仿宋" w:hAnsi="仿宋" w:eastAsia="仿宋" w:cs="仿宋"/>
          <w:color w:val="000000"/>
          <w:highlight w:val="none"/>
          <w:lang w:eastAsia="zh-CN"/>
        </w:rPr>
        <w:t>10. 分包、转包</w:t>
      </w:r>
      <w:bookmarkEnd w:id="361"/>
      <w:bookmarkEnd w:id="362"/>
      <w:bookmarkEnd w:id="363"/>
    </w:p>
    <w:p w14:paraId="6AC9CEEB">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10.1除甲方事先书面同意外，乙方不得部分或全部转让其应履行的合同义务。</w:t>
      </w:r>
    </w:p>
    <w:p w14:paraId="09FADCBD">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10.2除甲方事先书面同意外，乙方不得改变在响应文件中提出的分包项目和建议的分包人（如果有）。</w:t>
      </w:r>
    </w:p>
    <w:p w14:paraId="1104562C">
      <w:pPr>
        <w:pStyle w:val="4"/>
        <w:rPr>
          <w:rFonts w:hint="eastAsia" w:ascii="仿宋" w:hAnsi="仿宋" w:eastAsia="仿宋" w:cs="仿宋"/>
          <w:color w:val="000000"/>
          <w:highlight w:val="none"/>
          <w:lang w:eastAsia="zh-CN"/>
        </w:rPr>
      </w:pPr>
      <w:bookmarkStart w:id="364" w:name="_Toc3665"/>
      <w:bookmarkStart w:id="365" w:name="_Toc11559"/>
      <w:bookmarkStart w:id="366" w:name="_Toc17857"/>
      <w:r>
        <w:rPr>
          <w:rFonts w:hint="eastAsia" w:ascii="仿宋" w:hAnsi="仿宋" w:eastAsia="仿宋" w:cs="仿宋"/>
          <w:color w:val="000000"/>
          <w:highlight w:val="none"/>
          <w:lang w:eastAsia="zh-CN"/>
        </w:rPr>
        <w:t>11. 违约</w:t>
      </w:r>
      <w:bookmarkEnd w:id="364"/>
      <w:bookmarkEnd w:id="365"/>
      <w:bookmarkEnd w:id="366"/>
    </w:p>
    <w:p w14:paraId="09B58D1F">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 乙方违约</w:t>
      </w:r>
    </w:p>
    <w:p w14:paraId="285F64EA">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11.1.1 乙方所交付服务成果不符合本合同规定的，甲方有权拒收，乙方在得到甲方通知之日起</w:t>
      </w:r>
      <w:r>
        <w:rPr>
          <w:rFonts w:hint="eastAsia" w:ascii="仿宋" w:hAnsi="仿宋" w:eastAsia="仿宋" w:cs="仿宋"/>
          <w:color w:val="000000"/>
          <w:sz w:val="24"/>
          <w:szCs w:val="24"/>
          <w:highlight w:val="none"/>
          <w:u w:val="single"/>
        </w:rPr>
        <w:t xml:space="preserve">  3  </w:t>
      </w:r>
      <w:r>
        <w:rPr>
          <w:rFonts w:hint="eastAsia" w:ascii="仿宋" w:hAnsi="仿宋" w:eastAsia="仿宋" w:cs="仿宋"/>
          <w:color w:val="000000"/>
          <w:sz w:val="24"/>
          <w:szCs w:val="24"/>
          <w:highlight w:val="none"/>
        </w:rPr>
        <w:t>个工作日内采取补救措施，逾期仍未采取有效措施的，甲方有权要求乙方赔偿因此造成的损失或扣留履约保证金；同时乙方应向甲方支付合同总价</w:t>
      </w:r>
      <w:r>
        <w:rPr>
          <w:rFonts w:hint="eastAsia" w:ascii="仿宋" w:hAnsi="仿宋" w:eastAsia="仿宋" w:cs="仿宋"/>
          <w:color w:val="000000"/>
          <w:sz w:val="24"/>
          <w:szCs w:val="24"/>
          <w:highlight w:val="none"/>
          <w:u w:val="single"/>
          <w:lang w:val="en-US" w:eastAsia="zh-CN"/>
        </w:rPr>
        <w:t>1</w:t>
      </w:r>
      <w:r>
        <w:rPr>
          <w:rFonts w:hint="eastAsia" w:ascii="仿宋" w:hAnsi="仿宋" w:eastAsia="仿宋" w:cs="仿宋"/>
          <w:color w:val="000000"/>
          <w:sz w:val="24"/>
          <w:szCs w:val="24"/>
          <w:highlight w:val="none"/>
        </w:rPr>
        <w:t>％的违约金/次。</w:t>
      </w:r>
    </w:p>
    <w:p w14:paraId="4C4766FD">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11.1.2 乙方无正当理由逾期交付服务的，每逾期</w:t>
      </w:r>
      <w:r>
        <w:rPr>
          <w:rFonts w:hint="eastAsia" w:ascii="仿宋" w:hAnsi="仿宋" w:eastAsia="仿宋" w:cs="仿宋"/>
          <w:color w:val="000000"/>
          <w:sz w:val="24"/>
          <w:szCs w:val="24"/>
          <w:highlight w:val="none"/>
          <w:u w:val="single"/>
          <w:lang w:val="en-US" w:eastAsia="zh-CN"/>
        </w:rPr>
        <w:t>1</w:t>
      </w:r>
      <w:r>
        <w:rPr>
          <w:rFonts w:hint="eastAsia" w:ascii="仿宋" w:hAnsi="仿宋" w:eastAsia="仿宋" w:cs="仿宋"/>
          <w:color w:val="000000"/>
          <w:sz w:val="24"/>
          <w:szCs w:val="24"/>
          <w:highlight w:val="none"/>
        </w:rPr>
        <w:t>天，乙方向甲方偿付合同总额的</w:t>
      </w:r>
      <w:r>
        <w:rPr>
          <w:rFonts w:hint="eastAsia" w:ascii="仿宋" w:hAnsi="仿宋" w:eastAsia="仿宋" w:cs="仿宋"/>
          <w:color w:val="000000"/>
          <w:sz w:val="24"/>
          <w:szCs w:val="24"/>
          <w:highlight w:val="none"/>
          <w:u w:val="single"/>
        </w:rPr>
        <w:t xml:space="preserve"> 1 </w:t>
      </w:r>
      <w:r>
        <w:rPr>
          <w:rFonts w:hint="eastAsia" w:ascii="仿宋" w:hAnsi="仿宋" w:eastAsia="仿宋" w:cs="仿宋"/>
          <w:color w:val="000000"/>
          <w:sz w:val="24"/>
          <w:szCs w:val="24"/>
          <w:highlight w:val="none"/>
        </w:rPr>
        <w:t>‰的违约金，但累计误期违约金总额不超过合同总额的</w:t>
      </w:r>
      <w:r>
        <w:rPr>
          <w:rFonts w:hint="eastAsia" w:ascii="仿宋" w:hAnsi="仿宋" w:eastAsia="仿宋" w:cs="仿宋"/>
          <w:color w:val="000000"/>
          <w:sz w:val="24"/>
          <w:szCs w:val="24"/>
          <w:highlight w:val="none"/>
          <w:u w:val="single"/>
          <w:lang w:val="en-US" w:eastAsia="zh-CN"/>
        </w:rPr>
        <w:t>3</w:t>
      </w:r>
      <w:r>
        <w:rPr>
          <w:rFonts w:hint="eastAsia" w:ascii="仿宋" w:hAnsi="仿宋" w:eastAsia="仿宋" w:cs="仿宋"/>
          <w:color w:val="000000"/>
          <w:sz w:val="24"/>
          <w:szCs w:val="24"/>
          <w:highlight w:val="none"/>
        </w:rPr>
        <w:t>％。如乙方逾期达</w:t>
      </w:r>
      <w:r>
        <w:rPr>
          <w:rFonts w:hint="eastAsia" w:ascii="仿宋" w:hAnsi="仿宋" w:eastAsia="仿宋" w:cs="仿宋"/>
          <w:color w:val="000000"/>
          <w:sz w:val="24"/>
          <w:szCs w:val="24"/>
          <w:highlight w:val="none"/>
          <w:u w:val="single"/>
          <w:lang w:val="en-US" w:eastAsia="zh-CN"/>
        </w:rPr>
        <w:t>30</w:t>
      </w:r>
      <w:r>
        <w:rPr>
          <w:rFonts w:hint="eastAsia" w:ascii="仿宋" w:hAnsi="仿宋" w:eastAsia="仿宋" w:cs="仿宋"/>
          <w:color w:val="000000"/>
          <w:sz w:val="24"/>
          <w:szCs w:val="24"/>
          <w:highlight w:val="none"/>
        </w:rPr>
        <w:t>天或达到误期违约金最高限额时，甲方有权解除合同，甲方解除合同的通知自到达乙方时生效。在此情况下，乙方给甲方造成的实际损失高于违约金的，对高出违约金的部分乙方应予以赔偿。</w:t>
      </w:r>
    </w:p>
    <w:p w14:paraId="018597A7">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11.2 甲方违约</w:t>
      </w:r>
    </w:p>
    <w:p w14:paraId="51E2F34A">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11.2.1 甲方无正当理由拒收乙方服务成果，甲方应向乙方支付拒付合同价款</w:t>
      </w:r>
      <w:r>
        <w:rPr>
          <w:rFonts w:hint="eastAsia" w:ascii="仿宋" w:hAnsi="仿宋" w:eastAsia="仿宋" w:cs="仿宋"/>
          <w:color w:val="000000"/>
          <w:sz w:val="24"/>
          <w:szCs w:val="24"/>
          <w:highlight w:val="none"/>
          <w:u w:val="single"/>
          <w:lang w:val="en-US" w:eastAsia="zh-CN"/>
        </w:rPr>
        <w:t>1</w:t>
      </w:r>
      <w:r>
        <w:rPr>
          <w:rFonts w:hint="eastAsia" w:ascii="仿宋" w:hAnsi="仿宋" w:eastAsia="仿宋" w:cs="仿宋"/>
          <w:color w:val="000000"/>
          <w:sz w:val="24"/>
          <w:szCs w:val="24"/>
          <w:highlight w:val="none"/>
        </w:rPr>
        <w:t>％的违约金/次。</w:t>
      </w:r>
    </w:p>
    <w:p w14:paraId="5D0A36F2">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11.2.2 甲方未按合同规定的期限向乙方支付合同款的，每逾期1天甲方向乙方支付逾期价款的</w:t>
      </w:r>
      <w:r>
        <w:rPr>
          <w:rFonts w:hint="eastAsia" w:ascii="仿宋" w:hAnsi="仿宋" w:eastAsia="仿宋" w:cs="仿宋"/>
          <w:color w:val="000000"/>
          <w:sz w:val="24"/>
          <w:szCs w:val="24"/>
          <w:highlight w:val="none"/>
          <w:u w:val="single"/>
          <w:lang w:val="en-US" w:eastAsia="zh-CN"/>
        </w:rPr>
        <w:t>1</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‰违约金，但累计违约金总额不超过逾期价款的</w:t>
      </w:r>
      <w:r>
        <w:rPr>
          <w:rFonts w:hint="eastAsia" w:ascii="仿宋" w:hAnsi="仿宋" w:eastAsia="仿宋" w:cs="仿宋"/>
          <w:color w:val="000000"/>
          <w:sz w:val="24"/>
          <w:szCs w:val="24"/>
          <w:highlight w:val="none"/>
          <w:u w:val="single"/>
          <w:lang w:val="en-US" w:eastAsia="zh-CN"/>
        </w:rPr>
        <w:t>3</w:t>
      </w:r>
      <w:r>
        <w:rPr>
          <w:rFonts w:hint="eastAsia" w:ascii="仿宋" w:hAnsi="仿宋" w:eastAsia="仿宋" w:cs="仿宋"/>
          <w:color w:val="000000"/>
          <w:sz w:val="24"/>
          <w:szCs w:val="24"/>
          <w:highlight w:val="none"/>
        </w:rPr>
        <w:t>％。</w:t>
      </w:r>
    </w:p>
    <w:p w14:paraId="736382A7">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11.3 其它未尽事宜，以《民法典》等有关法律法规规定为准，无相关规定的，双方协商解决。</w:t>
      </w:r>
    </w:p>
    <w:p w14:paraId="597AC1CB">
      <w:pPr>
        <w:pStyle w:val="4"/>
        <w:rPr>
          <w:rFonts w:hint="eastAsia" w:ascii="仿宋" w:hAnsi="仿宋" w:eastAsia="仿宋" w:cs="仿宋"/>
          <w:color w:val="000000"/>
          <w:highlight w:val="none"/>
          <w:lang w:eastAsia="zh-CN"/>
        </w:rPr>
      </w:pPr>
      <w:bookmarkStart w:id="367" w:name="_Toc32538"/>
      <w:bookmarkStart w:id="368" w:name="_Toc12043"/>
      <w:bookmarkStart w:id="369" w:name="_Toc8039"/>
      <w:r>
        <w:rPr>
          <w:rFonts w:hint="eastAsia" w:ascii="仿宋" w:hAnsi="仿宋" w:eastAsia="仿宋" w:cs="仿宋"/>
          <w:color w:val="000000"/>
          <w:highlight w:val="none"/>
          <w:lang w:eastAsia="zh-CN"/>
        </w:rPr>
        <w:t>12. 合同解除</w:t>
      </w:r>
      <w:bookmarkEnd w:id="367"/>
      <w:bookmarkEnd w:id="368"/>
      <w:bookmarkEnd w:id="369"/>
    </w:p>
    <w:p w14:paraId="03767521">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12.1 乙方违约时合同解除</w:t>
      </w:r>
    </w:p>
    <w:p w14:paraId="5109457E">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12.1.1 发生下列情形时，在甲方对乙方违约提出警告无效的情况下，甲方可以书面形式通知乙方，提出解除合同。</w:t>
      </w:r>
    </w:p>
    <w:p w14:paraId="3338B9E5">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（1）如果乙方未能在合同规定的时间内或未能在包括但不限于甲方同意延长的期限内提供部分或全部合同</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w:t>
      </w:r>
    </w:p>
    <w:p w14:paraId="49A28C12">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（2）如果乙方未能履行合同约定的义务；</w:t>
      </w:r>
    </w:p>
    <w:p w14:paraId="219B471D">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12.2 乙方破产时解除合同</w:t>
      </w:r>
    </w:p>
    <w:p w14:paraId="60B252C2">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乙方破产或无清偿债务的能力，导致合同不能履行时，甲方可以以书面形式通知乙方解除合同而不对乙方进行任何补偿。同时该解除合同将不损害或影响甲方已经采取或将要采取的任何行动或补救措施的任何权利。</w:t>
      </w:r>
    </w:p>
    <w:p w14:paraId="72482A91">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12.3 甲方违约解除合同</w:t>
      </w:r>
    </w:p>
    <w:p w14:paraId="6E8D3A50">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如果甲方无法继续履行或明确表示不履行或实质上已停止履行合同，乙方可以书面形式通知甲方，</w:t>
      </w:r>
      <w:r>
        <w:rPr>
          <w:rFonts w:hint="eastAsia" w:ascii="仿宋" w:hAnsi="仿宋" w:eastAsia="仿宋" w:cs="仿宋"/>
          <w:color w:val="000000"/>
          <w:position w:val="-1"/>
          <w:sz w:val="24"/>
          <w:szCs w:val="24"/>
          <w:highlight w:val="none"/>
        </w:rPr>
        <w:t>提出解除合同。解除合同不免除甲方承担的违约责任。</w:t>
      </w:r>
    </w:p>
    <w:p w14:paraId="4BCA0074">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12.4 甲方解除合同后的结清</w:t>
      </w:r>
    </w:p>
    <w:p w14:paraId="6A21D4DB">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因乙方违约或破产，甲方提出解除合同的，在甲方通知乙方解除合同</w:t>
      </w:r>
      <w:r>
        <w:rPr>
          <w:rFonts w:hint="eastAsia" w:ascii="仿宋" w:hAnsi="仿宋" w:eastAsia="仿宋" w:cs="仿宋"/>
          <w:color w:val="000000"/>
          <w:sz w:val="24"/>
          <w:szCs w:val="24"/>
          <w:highlight w:val="none"/>
          <w:u w:val="single"/>
          <w:lang w:val="en-US" w:eastAsia="zh-CN"/>
        </w:rPr>
        <w:t>30</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天内，乙方向甲方提交有关资料和凭证，按下列方式结清。</w:t>
      </w:r>
    </w:p>
    <w:p w14:paraId="2A3BE88F">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（1）乙方应将一切与合同有关的并已付款的文件、资料交付给甲方。</w:t>
      </w:r>
    </w:p>
    <w:p w14:paraId="317CE96B">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（2）甲方应清查各项付款和已扣款金额，包括按合同约定的违约扣款，以及由于解除合同给甲方造成损失的违约金额，并做详细说明。</w:t>
      </w:r>
    </w:p>
    <w:p w14:paraId="12163A80">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（4）甲乙双方确认上述往来款项和违约金额后，结清合同价款。</w:t>
      </w:r>
    </w:p>
    <w:p w14:paraId="3E0CF789">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（5）甲乙双方未能就解除合同后的结清达成一致而形成争议的，按合同约定办理。</w:t>
      </w:r>
    </w:p>
    <w:p w14:paraId="511A6E1A">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12.5 乙方解除合同的结清</w:t>
      </w:r>
    </w:p>
    <w:p w14:paraId="1EC8CDB9">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因甲方违约乙方提出解除合同的，在乙方通知甲方解除合同</w:t>
      </w:r>
      <w:r>
        <w:rPr>
          <w:rFonts w:hint="eastAsia" w:ascii="仿宋" w:hAnsi="仿宋" w:eastAsia="仿宋" w:cs="仿宋"/>
          <w:color w:val="000000"/>
          <w:sz w:val="24"/>
          <w:szCs w:val="24"/>
          <w:highlight w:val="none"/>
          <w:u w:val="single"/>
          <w:lang w:val="en-US" w:eastAsia="zh-CN"/>
        </w:rPr>
        <w:t>30</w:t>
      </w:r>
      <w:r>
        <w:rPr>
          <w:rFonts w:hint="eastAsia" w:ascii="仿宋" w:hAnsi="仿宋" w:eastAsia="仿宋" w:cs="仿宋"/>
          <w:color w:val="000000"/>
          <w:sz w:val="24"/>
          <w:szCs w:val="24"/>
          <w:highlight w:val="none"/>
        </w:rPr>
        <w:t>天内，乙方向甲方提交有关资料和凭证，按下列方式结清。</w:t>
      </w:r>
    </w:p>
    <w:p w14:paraId="36F5EDE9">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（1）乙方应将一切与合同有关的并已付款的文件、资料交付给甲方。</w:t>
      </w:r>
    </w:p>
    <w:p w14:paraId="0D0882D0">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（2）乙方应清查已交付的合同</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金额，甲方已支付的金额，甲方未支付的金额，以及由于解除合同给乙方造成损失的违约金额，并做详细说明。</w:t>
      </w:r>
    </w:p>
    <w:p w14:paraId="1AA67F8F">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（3）甲乙双方确认上述往来款项和违约金额后，结清合同价款，甲方应退还质量保证金和履约保证金。</w:t>
      </w:r>
    </w:p>
    <w:p w14:paraId="6C6E6411">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（4）甲乙双方未能就解除合同后的结清达成一致而形成争议的，按合同约定办理。</w:t>
      </w:r>
    </w:p>
    <w:p w14:paraId="5565593A">
      <w:pPr>
        <w:pStyle w:val="4"/>
        <w:rPr>
          <w:rFonts w:hint="eastAsia" w:ascii="仿宋" w:hAnsi="仿宋" w:eastAsia="仿宋" w:cs="仿宋"/>
          <w:color w:val="000000"/>
          <w:highlight w:val="none"/>
          <w:lang w:eastAsia="zh-CN"/>
        </w:rPr>
      </w:pPr>
      <w:bookmarkStart w:id="370" w:name="_Toc1791"/>
      <w:bookmarkStart w:id="371" w:name="_Toc29613"/>
      <w:bookmarkStart w:id="372" w:name="_Toc7117"/>
      <w:r>
        <w:rPr>
          <w:rFonts w:hint="eastAsia" w:ascii="仿宋" w:hAnsi="仿宋" w:eastAsia="仿宋" w:cs="仿宋"/>
          <w:color w:val="000000"/>
          <w:highlight w:val="none"/>
          <w:lang w:eastAsia="zh-CN"/>
        </w:rPr>
        <w:t>13. 履约保证金</w:t>
      </w:r>
      <w:bookmarkEnd w:id="370"/>
      <w:bookmarkEnd w:id="371"/>
      <w:bookmarkEnd w:id="372"/>
    </w:p>
    <w:p w14:paraId="68ACE628">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13.1 乙方应向甲方提交提交履约保证金，履约保证金用于补偿甲方因乙方不能履行其合同义务而蒙受的损失。</w:t>
      </w:r>
    </w:p>
    <w:p w14:paraId="1B7046D3">
      <w:pPr>
        <w:widowControl/>
        <w:adjustRightInd w:val="0"/>
        <w:snapToGrid w:val="0"/>
        <w:spacing w:line="360" w:lineRule="auto"/>
        <w:ind w:firstLine="480" w:firstLineChars="2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履约保证金金额：</w:t>
      </w:r>
      <w:r>
        <w:rPr>
          <w:rFonts w:hint="eastAsia" w:ascii="仿宋" w:hAnsi="仿宋" w:eastAsia="仿宋" w:cs="仿宋"/>
          <w:color w:val="000000"/>
          <w:sz w:val="24"/>
          <w:szCs w:val="24"/>
          <w:highlight w:val="none"/>
          <w:u w:val="single"/>
          <w:lang w:val="en-US" w:eastAsia="zh-CN"/>
        </w:rPr>
        <w:t>0元</w:t>
      </w:r>
      <w:r>
        <w:rPr>
          <w:rFonts w:hint="eastAsia" w:ascii="仿宋" w:hAnsi="仿宋" w:eastAsia="仿宋" w:cs="仿宋"/>
          <w:color w:val="000000"/>
          <w:sz w:val="24"/>
          <w:szCs w:val="24"/>
          <w:highlight w:val="none"/>
          <w:u w:val="single"/>
        </w:rPr>
        <w:t xml:space="preserve"> </w:t>
      </w:r>
    </w:p>
    <w:p w14:paraId="2C16FBBA">
      <w:pPr>
        <w:widowControl/>
        <w:adjustRightInd w:val="0"/>
        <w:snapToGrid w:val="0"/>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履约保证金形式：</w:t>
      </w:r>
      <w:r>
        <w:rPr>
          <w:rFonts w:hint="eastAsia" w:ascii="仿宋" w:hAnsi="仿宋" w:eastAsia="仿宋" w:cs="仿宋"/>
          <w:color w:val="000000"/>
          <w:sz w:val="24"/>
          <w:szCs w:val="24"/>
          <w:highlight w:val="none"/>
          <w:u w:val="single"/>
          <w:lang w:val="en-US" w:eastAsia="zh-CN"/>
        </w:rPr>
        <w:t>不收取</w:t>
      </w:r>
    </w:p>
    <w:p w14:paraId="0B96E9C5">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履约保证金提交时间：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p>
    <w:p w14:paraId="275397FF">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13.2履约保证金的有效期为合同服务最后一批服务成果验收合格后</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天。</w:t>
      </w:r>
    </w:p>
    <w:p w14:paraId="6E4E349D">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13.3履约保证金在合同服务成果验收合格后</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天内无息退还。</w:t>
      </w:r>
    </w:p>
    <w:p w14:paraId="06DAF855">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13.4 履约保证金因乙方原因导致服务期限延长，其履约保证金有效期应相应延长。</w:t>
      </w:r>
    </w:p>
    <w:p w14:paraId="4C3AE6C9">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13.5 发生下列之一者，则不予退还履约保证金：</w:t>
      </w:r>
    </w:p>
    <w:p w14:paraId="62EA2C78">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（1）乙方发生违约行为而完全终止合同；</w:t>
      </w:r>
    </w:p>
    <w:p w14:paraId="40C9177D">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（2）乙方不履行实质性的投标承诺。</w:t>
      </w:r>
    </w:p>
    <w:p w14:paraId="1CF250BA">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13.6 履约保证金的退还或不予退还并不免除乙方对已交付服务的质量责任。</w:t>
      </w:r>
    </w:p>
    <w:p w14:paraId="1A8BCEC9">
      <w:pPr>
        <w:pStyle w:val="4"/>
        <w:rPr>
          <w:rFonts w:hint="eastAsia" w:ascii="仿宋" w:hAnsi="仿宋" w:eastAsia="仿宋" w:cs="仿宋"/>
          <w:color w:val="000000"/>
          <w:highlight w:val="none"/>
          <w:lang w:eastAsia="zh-CN"/>
        </w:rPr>
      </w:pPr>
      <w:bookmarkStart w:id="373" w:name="_Toc16580"/>
      <w:bookmarkStart w:id="374" w:name="_Toc23685"/>
      <w:bookmarkStart w:id="375" w:name="_Toc15491"/>
      <w:r>
        <w:rPr>
          <w:rFonts w:hint="eastAsia" w:ascii="仿宋" w:hAnsi="仿宋" w:eastAsia="仿宋" w:cs="仿宋"/>
          <w:color w:val="000000"/>
          <w:highlight w:val="none"/>
          <w:lang w:eastAsia="zh-CN"/>
        </w:rPr>
        <w:t>14. 不可抗力</w:t>
      </w:r>
      <w:bookmarkEnd w:id="373"/>
      <w:bookmarkEnd w:id="374"/>
      <w:bookmarkEnd w:id="375"/>
    </w:p>
    <w:p w14:paraId="3ECAE6DC">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14.1 如果合同任何一方受诸如战争、严重的火灾、台风、地震、洪水以及任何其他不能预见、不能避免且不能克服的不可抗力事件的影响而无法履行合同项下的任何义务，受影响的一方应将此类事件的发生通知合同另一方，并应在不可抗力事件发生后</w:t>
      </w:r>
      <w:r>
        <w:rPr>
          <w:rFonts w:hint="eastAsia" w:ascii="仿宋" w:hAnsi="仿宋" w:eastAsia="仿宋" w:cs="仿宋"/>
          <w:color w:val="000000"/>
          <w:sz w:val="24"/>
          <w:szCs w:val="24"/>
          <w:highlight w:val="none"/>
          <w:u w:val="single"/>
          <w:lang w:val="en-US" w:eastAsia="zh-CN"/>
        </w:rPr>
        <w:t>30</w:t>
      </w:r>
      <w:r>
        <w:rPr>
          <w:rFonts w:hint="eastAsia" w:ascii="仿宋" w:hAnsi="仿宋" w:eastAsia="仿宋" w:cs="仿宋"/>
          <w:color w:val="000000"/>
          <w:sz w:val="24"/>
          <w:szCs w:val="24"/>
          <w:highlight w:val="none"/>
        </w:rPr>
        <w:t>天内书面</w:t>
      </w:r>
      <w:r>
        <w:rPr>
          <w:rFonts w:hint="eastAsia" w:ascii="仿宋" w:hAnsi="仿宋" w:eastAsia="仿宋" w:cs="仿宋"/>
          <w:color w:val="000000"/>
          <w:position w:val="-1"/>
          <w:sz w:val="24"/>
          <w:szCs w:val="24"/>
          <w:highlight w:val="none"/>
        </w:rPr>
        <w:t>说明不可抗力和受阻碍的详细情</w:t>
      </w:r>
      <w:r>
        <w:rPr>
          <w:rFonts w:hint="eastAsia" w:ascii="仿宋" w:hAnsi="仿宋" w:eastAsia="仿宋" w:cs="仿宋"/>
          <w:color w:val="000000"/>
          <w:sz w:val="24"/>
          <w:szCs w:val="24"/>
          <w:highlight w:val="none"/>
        </w:rPr>
        <w:t>况，并提供必要的证明。</w:t>
      </w:r>
    </w:p>
    <w:p w14:paraId="097258DB">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14.2 受不可抗力事件影响的合同一方对于不可抗力事件导致的任何合同义务的迟延履行或不能履行不承担责任。但该合同方应尽快将不可抗力事件结束或其影响消除的情况通知合同另一方。双方由此产生的损失不得向对方提出索赔要求，也不承担误期赔偿或终止合同的责任。</w:t>
      </w:r>
    </w:p>
    <w:p w14:paraId="4E2693AF">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14.3 合同双方应在不可抗力事件结束或其影响消除后，立即继续履行其合同义务，合同期限也应相应延长。如果不可抗力事件的影响持续超过</w:t>
      </w:r>
      <w:r>
        <w:rPr>
          <w:rFonts w:hint="eastAsia" w:ascii="仿宋" w:hAnsi="仿宋" w:eastAsia="仿宋" w:cs="仿宋"/>
          <w:color w:val="000000"/>
          <w:sz w:val="24"/>
          <w:szCs w:val="24"/>
          <w:highlight w:val="none"/>
          <w:u w:val="single"/>
          <w:lang w:val="en-US" w:eastAsia="zh-CN"/>
        </w:rPr>
        <w:t>7</w:t>
      </w:r>
      <w:r>
        <w:rPr>
          <w:rFonts w:hint="eastAsia" w:ascii="仿宋" w:hAnsi="仿宋" w:eastAsia="仿宋" w:cs="仿宋"/>
          <w:color w:val="000000"/>
          <w:sz w:val="24"/>
          <w:szCs w:val="24"/>
          <w:highlight w:val="none"/>
        </w:rPr>
        <w:t>天，合同任何一方均有权以书面形式通知对方部分或全部终止合同。</w:t>
      </w:r>
    </w:p>
    <w:p w14:paraId="536B7C23">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14.4 因不可抗力终止合同的结清参照第12.4款规定办理。</w:t>
      </w:r>
    </w:p>
    <w:p w14:paraId="6231E6E0">
      <w:pPr>
        <w:pStyle w:val="4"/>
        <w:rPr>
          <w:rFonts w:hint="eastAsia" w:ascii="仿宋" w:hAnsi="仿宋" w:eastAsia="仿宋" w:cs="仿宋"/>
          <w:color w:val="000000"/>
          <w:highlight w:val="none"/>
          <w:lang w:eastAsia="zh-CN"/>
        </w:rPr>
      </w:pPr>
      <w:bookmarkStart w:id="376" w:name="_Toc8460"/>
      <w:bookmarkStart w:id="377" w:name="_Toc8405"/>
      <w:bookmarkStart w:id="378" w:name="_Toc15413"/>
      <w:r>
        <w:rPr>
          <w:rFonts w:hint="eastAsia" w:ascii="仿宋" w:hAnsi="仿宋" w:eastAsia="仿宋" w:cs="仿宋"/>
          <w:color w:val="000000"/>
          <w:highlight w:val="none"/>
          <w:lang w:eastAsia="zh-CN"/>
        </w:rPr>
        <w:t>15. 税费</w:t>
      </w:r>
      <w:bookmarkEnd w:id="376"/>
      <w:bookmarkEnd w:id="377"/>
      <w:bookmarkEnd w:id="378"/>
    </w:p>
    <w:p w14:paraId="36E7AF3F">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15.1 按现行税法规定向甲方征收的与本合同有关的一切税费均由甲方负责。</w:t>
      </w:r>
    </w:p>
    <w:p w14:paraId="26E14336">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15.2 按现行税法规定向乙方征收的与本合同有关的一切税费均由乙方负责。</w:t>
      </w:r>
    </w:p>
    <w:p w14:paraId="7614FF89">
      <w:pPr>
        <w:pStyle w:val="4"/>
        <w:rPr>
          <w:rFonts w:hint="eastAsia" w:ascii="仿宋" w:hAnsi="仿宋" w:eastAsia="仿宋" w:cs="仿宋"/>
          <w:color w:val="000000"/>
          <w:highlight w:val="none"/>
          <w:lang w:eastAsia="zh-CN"/>
        </w:rPr>
      </w:pPr>
      <w:bookmarkStart w:id="379" w:name="_Toc31600"/>
      <w:bookmarkStart w:id="380" w:name="_Toc21289"/>
      <w:bookmarkStart w:id="381" w:name="_Toc24097"/>
      <w:r>
        <w:rPr>
          <w:rFonts w:hint="eastAsia" w:ascii="仿宋" w:hAnsi="仿宋" w:eastAsia="仿宋" w:cs="仿宋"/>
          <w:color w:val="000000"/>
          <w:highlight w:val="none"/>
          <w:lang w:eastAsia="zh-CN"/>
        </w:rPr>
        <w:t>16. 争议的解决</w:t>
      </w:r>
      <w:bookmarkEnd w:id="379"/>
      <w:bookmarkEnd w:id="380"/>
      <w:bookmarkEnd w:id="381"/>
    </w:p>
    <w:p w14:paraId="23A0BCD0">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16.1 合同履行过程中出现争议时，甲乙双方应本着公平、合理的原则，及时友好协商解决。如在</w:t>
      </w:r>
      <w:r>
        <w:rPr>
          <w:rFonts w:hint="eastAsia" w:ascii="仿宋" w:hAnsi="仿宋" w:eastAsia="仿宋" w:cs="仿宋"/>
          <w:color w:val="000000"/>
          <w:sz w:val="24"/>
          <w:szCs w:val="24"/>
          <w:highlight w:val="none"/>
          <w:u w:val="single"/>
          <w:lang w:val="en-US" w:eastAsia="zh-CN"/>
        </w:rPr>
        <w:t>7</w:t>
      </w:r>
      <w:r>
        <w:rPr>
          <w:rFonts w:hint="eastAsia" w:ascii="仿宋" w:hAnsi="仿宋" w:eastAsia="仿宋" w:cs="仿宋"/>
          <w:color w:val="000000"/>
          <w:sz w:val="24"/>
          <w:szCs w:val="24"/>
          <w:highlight w:val="none"/>
        </w:rPr>
        <w:t>天内未能解决，按下列第</w:t>
      </w:r>
      <w:r>
        <w:rPr>
          <w:rFonts w:hint="eastAsia" w:ascii="仿宋" w:hAnsi="仿宋" w:eastAsia="仿宋" w:cs="仿宋"/>
          <w:color w:val="000000"/>
          <w:sz w:val="24"/>
          <w:szCs w:val="24"/>
          <w:highlight w:val="none"/>
          <w:u w:val="single"/>
        </w:rPr>
        <w:t>（1）</w:t>
      </w:r>
      <w:r>
        <w:rPr>
          <w:rFonts w:hint="eastAsia" w:ascii="仿宋" w:hAnsi="仿宋" w:eastAsia="仿宋" w:cs="仿宋"/>
          <w:color w:val="000000"/>
          <w:sz w:val="24"/>
          <w:szCs w:val="24"/>
          <w:highlight w:val="none"/>
        </w:rPr>
        <w:t>种方式解决：</w:t>
      </w:r>
    </w:p>
    <w:p w14:paraId="4783D368">
      <w:pPr>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（1）向</w:t>
      </w:r>
      <w:r>
        <w:rPr>
          <w:rFonts w:hint="eastAsia" w:ascii="仿宋" w:hAnsi="仿宋" w:eastAsia="仿宋" w:cs="仿宋"/>
          <w:color w:val="000000"/>
          <w:sz w:val="24"/>
          <w:szCs w:val="24"/>
          <w:highlight w:val="none"/>
          <w:u w:val="single"/>
          <w:lang w:val="en-US" w:eastAsia="zh-CN"/>
        </w:rPr>
        <w:t>阜阳</w:t>
      </w:r>
      <w:r>
        <w:rPr>
          <w:rFonts w:hint="eastAsia" w:ascii="仿宋" w:hAnsi="仿宋" w:eastAsia="仿宋" w:cs="仿宋"/>
          <w:color w:val="000000"/>
          <w:sz w:val="24"/>
          <w:szCs w:val="24"/>
          <w:highlight w:val="none"/>
        </w:rPr>
        <w:t>仲裁委员会申请仲裁；</w:t>
      </w:r>
    </w:p>
    <w:p w14:paraId="72D51E50">
      <w:pPr>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（2）向</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人民法院起诉。</w:t>
      </w:r>
    </w:p>
    <w:p w14:paraId="50D1E989">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16.2 在争议期间，除存在争议的部分外，本合同其它部分应继续履行。</w:t>
      </w:r>
    </w:p>
    <w:p w14:paraId="1EFBDF2B">
      <w:pPr>
        <w:pStyle w:val="4"/>
        <w:rPr>
          <w:rFonts w:hint="eastAsia" w:ascii="仿宋" w:hAnsi="仿宋" w:eastAsia="仿宋" w:cs="仿宋"/>
          <w:color w:val="000000"/>
          <w:highlight w:val="none"/>
          <w:lang w:eastAsia="zh-CN"/>
        </w:rPr>
      </w:pPr>
      <w:bookmarkStart w:id="382" w:name="_Toc14596"/>
      <w:bookmarkStart w:id="383" w:name="_Toc1064"/>
      <w:bookmarkStart w:id="384" w:name="_Toc7729"/>
      <w:r>
        <w:rPr>
          <w:rFonts w:hint="eastAsia" w:ascii="仿宋" w:hAnsi="仿宋" w:eastAsia="仿宋" w:cs="仿宋"/>
          <w:color w:val="000000"/>
          <w:highlight w:val="none"/>
          <w:lang w:eastAsia="zh-CN"/>
        </w:rPr>
        <w:t>17. 适用法律</w:t>
      </w:r>
      <w:bookmarkEnd w:id="382"/>
      <w:bookmarkEnd w:id="383"/>
      <w:bookmarkEnd w:id="384"/>
    </w:p>
    <w:p w14:paraId="25214C48">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本合同应按照中华人民共和国的法律进行解释。</w:t>
      </w:r>
    </w:p>
    <w:p w14:paraId="32B14BEC">
      <w:pPr>
        <w:pStyle w:val="4"/>
        <w:rPr>
          <w:rFonts w:hint="eastAsia" w:ascii="仿宋" w:hAnsi="仿宋" w:eastAsia="仿宋" w:cs="仿宋"/>
          <w:color w:val="000000"/>
          <w:highlight w:val="none"/>
          <w:lang w:eastAsia="zh-CN"/>
        </w:rPr>
      </w:pPr>
      <w:bookmarkStart w:id="385" w:name="_Toc14235"/>
      <w:bookmarkStart w:id="386" w:name="_Toc15201"/>
      <w:bookmarkStart w:id="387" w:name="_Toc17817"/>
      <w:r>
        <w:rPr>
          <w:rFonts w:hint="eastAsia" w:ascii="仿宋" w:hAnsi="仿宋" w:eastAsia="仿宋" w:cs="仿宋"/>
          <w:color w:val="000000"/>
          <w:highlight w:val="none"/>
          <w:lang w:eastAsia="zh-CN"/>
        </w:rPr>
        <w:t>18. 合同生效</w:t>
      </w:r>
      <w:bookmarkEnd w:id="385"/>
      <w:bookmarkEnd w:id="386"/>
      <w:bookmarkEnd w:id="387"/>
    </w:p>
    <w:p w14:paraId="556F7B19">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除法律另有规定外，甲方和乙方的法定代表人（单位负责人）或其委托代理人在合同协议书上签字并盖单位章后，合同生效。</w:t>
      </w:r>
    </w:p>
    <w:p w14:paraId="029A7AC9">
      <w:pPr>
        <w:pStyle w:val="4"/>
        <w:rPr>
          <w:rFonts w:hint="eastAsia" w:ascii="仿宋" w:hAnsi="仿宋" w:eastAsia="仿宋" w:cs="仿宋"/>
          <w:color w:val="000000"/>
          <w:highlight w:val="none"/>
          <w:lang w:eastAsia="zh-CN"/>
        </w:rPr>
      </w:pPr>
      <w:bookmarkStart w:id="388" w:name="_Toc24299"/>
      <w:bookmarkStart w:id="389" w:name="_Toc15690"/>
      <w:bookmarkStart w:id="390" w:name="_Toc16105"/>
      <w:r>
        <w:rPr>
          <w:rFonts w:hint="eastAsia" w:ascii="仿宋" w:hAnsi="仿宋" w:eastAsia="仿宋" w:cs="仿宋"/>
          <w:color w:val="000000"/>
          <w:highlight w:val="none"/>
          <w:lang w:eastAsia="zh-CN"/>
        </w:rPr>
        <w:t>19. 合同附件</w:t>
      </w:r>
      <w:bookmarkEnd w:id="388"/>
      <w:bookmarkEnd w:id="389"/>
      <w:bookmarkEnd w:id="390"/>
    </w:p>
    <w:p w14:paraId="05B26EA7">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按合同协议书规定的合同组成部分作为合同附件。</w:t>
      </w:r>
    </w:p>
    <w:p w14:paraId="4DEEED03">
      <w:pPr>
        <w:pStyle w:val="4"/>
        <w:rPr>
          <w:rFonts w:hint="eastAsia" w:ascii="仿宋" w:hAnsi="仿宋" w:eastAsia="仿宋" w:cs="仿宋"/>
          <w:color w:val="000000"/>
          <w:highlight w:val="none"/>
          <w:lang w:eastAsia="zh-CN"/>
        </w:rPr>
      </w:pPr>
      <w:bookmarkStart w:id="391" w:name="_Toc12843"/>
      <w:bookmarkStart w:id="392" w:name="_Toc26814"/>
      <w:bookmarkStart w:id="393" w:name="_Toc2396"/>
      <w:r>
        <w:rPr>
          <w:rFonts w:hint="eastAsia" w:ascii="仿宋" w:hAnsi="仿宋" w:eastAsia="仿宋" w:cs="仿宋"/>
          <w:color w:val="000000"/>
          <w:highlight w:val="none"/>
          <w:lang w:eastAsia="zh-CN"/>
        </w:rPr>
        <w:t>20. 补充条款</w:t>
      </w:r>
      <w:bookmarkEnd w:id="391"/>
      <w:bookmarkEnd w:id="392"/>
      <w:bookmarkEnd w:id="393"/>
    </w:p>
    <w:p w14:paraId="0ED34667">
      <w:pPr>
        <w:widowControl/>
        <w:adjustRightInd w:val="0"/>
        <w:snapToGrid w:val="0"/>
        <w:spacing w:line="360" w:lineRule="auto"/>
        <w:ind w:firstLine="420" w:firstLineChars="200"/>
        <w:rPr>
          <w:rFonts w:hint="eastAsia" w:ascii="仿宋" w:hAnsi="仿宋" w:eastAsia="仿宋" w:cs="仿宋"/>
          <w:color w:val="000000"/>
          <w:szCs w:val="21"/>
          <w:highlight w:val="none"/>
          <w:u w:val="single"/>
        </w:rPr>
      </w:pPr>
      <w:r>
        <w:rPr>
          <w:rFonts w:hint="eastAsia" w:ascii="仿宋" w:hAnsi="仿宋" w:eastAsia="仿宋" w:cs="仿宋"/>
          <w:color w:val="000000"/>
          <w:szCs w:val="21"/>
          <w:highlight w:val="none"/>
          <w:u w:val="single"/>
        </w:rPr>
        <w:t xml:space="preserve">                                                                       </w:t>
      </w:r>
    </w:p>
    <w:p w14:paraId="005733D9">
      <w:pPr>
        <w:pStyle w:val="4"/>
        <w:rPr>
          <w:rFonts w:hint="eastAsia" w:ascii="仿宋" w:hAnsi="仿宋" w:eastAsia="仿宋" w:cs="仿宋"/>
          <w:color w:val="000000"/>
          <w:highlight w:val="none"/>
          <w:lang w:eastAsia="zh-CN"/>
        </w:rPr>
      </w:pPr>
      <w:bookmarkStart w:id="394" w:name="_Toc3758"/>
      <w:bookmarkStart w:id="395" w:name="_Toc19470"/>
      <w:bookmarkStart w:id="396" w:name="_Toc32227"/>
      <w:r>
        <w:rPr>
          <w:rFonts w:hint="eastAsia" w:ascii="仿宋" w:hAnsi="仿宋" w:eastAsia="仿宋" w:cs="仿宋"/>
          <w:color w:val="000000"/>
          <w:highlight w:val="none"/>
          <w:lang w:eastAsia="zh-CN"/>
        </w:rPr>
        <w:t>21. 其他</w:t>
      </w:r>
      <w:bookmarkEnd w:id="394"/>
      <w:bookmarkEnd w:id="395"/>
      <w:bookmarkEnd w:id="396"/>
    </w:p>
    <w:p w14:paraId="72DF3F96">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本合同一式</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4</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份，甲、乙双方各执</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2</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w:t>
      </w:r>
    </w:p>
    <w:p w14:paraId="0EAA5AED">
      <w:pPr>
        <w:snapToGrid w:val="0"/>
        <w:spacing w:line="360" w:lineRule="auto"/>
        <w:ind w:firstLine="480" w:firstLineChars="200"/>
        <w:rPr>
          <w:rFonts w:hint="eastAsia" w:ascii="仿宋" w:hAnsi="仿宋" w:eastAsia="仿宋" w:cs="仿宋"/>
          <w:color w:val="000000"/>
          <w:sz w:val="24"/>
          <w:szCs w:val="24"/>
          <w:highlight w:val="none"/>
        </w:rPr>
      </w:pPr>
    </w:p>
    <w:p w14:paraId="04791FDA">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   方：                        乙   方：</w:t>
      </w:r>
    </w:p>
    <w:p w14:paraId="231E73C7">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名称：（盖章）                    名称：（盖章）</w:t>
      </w:r>
    </w:p>
    <w:p w14:paraId="0252375D">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                           地址：</w:t>
      </w:r>
    </w:p>
    <w:p w14:paraId="090FC432">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法定代表人（签字）：              法定代表人（签字）：</w:t>
      </w:r>
    </w:p>
    <w:p w14:paraId="7C1AF2DD">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授权代表（签字）：                授权代表（签字）：</w:t>
      </w:r>
    </w:p>
    <w:p w14:paraId="1B13B070">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                       开户银行：</w:t>
      </w:r>
    </w:p>
    <w:p w14:paraId="23BDDA71">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银行帐号：                       银行帐号：</w:t>
      </w:r>
    </w:p>
    <w:p w14:paraId="073F599B">
      <w:p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时间：         年     月     日</w:t>
      </w:r>
    </w:p>
    <w:p w14:paraId="0B4C4AEE">
      <w:pPr>
        <w:spacing w:line="360" w:lineRule="auto"/>
        <w:ind w:firstLine="480" w:firstLineChars="200"/>
        <w:rPr>
          <w:rFonts w:hint="eastAsia" w:ascii="仿宋" w:hAnsi="仿宋" w:eastAsia="仿宋" w:cs="仿宋"/>
          <w:bCs/>
          <w:snapToGrid w:val="0"/>
          <w:color w:val="000000"/>
          <w:sz w:val="24"/>
          <w:szCs w:val="24"/>
        </w:rPr>
      </w:pPr>
    </w:p>
    <w:p w14:paraId="62402CB7">
      <w:pPr>
        <w:spacing w:line="360" w:lineRule="auto"/>
        <w:ind w:firstLine="480" w:firstLineChars="200"/>
        <w:rPr>
          <w:rFonts w:hint="eastAsia" w:ascii="仿宋" w:hAnsi="仿宋" w:eastAsia="仿宋" w:cs="仿宋"/>
          <w:bCs/>
          <w:snapToGrid w:val="0"/>
          <w:color w:val="000000"/>
          <w:sz w:val="24"/>
          <w:szCs w:val="24"/>
        </w:rPr>
      </w:pPr>
      <w:r>
        <w:rPr>
          <w:rFonts w:hint="eastAsia" w:ascii="仿宋" w:hAnsi="仿宋" w:eastAsia="仿宋" w:cs="仿宋"/>
          <w:bCs/>
          <w:snapToGrid w:val="0"/>
          <w:color w:val="000000"/>
          <w:sz w:val="24"/>
          <w:szCs w:val="24"/>
        </w:rPr>
        <w:t>附件</w:t>
      </w:r>
    </w:p>
    <w:p w14:paraId="1CC9C778">
      <w:pPr>
        <w:spacing w:line="360" w:lineRule="auto"/>
        <w:ind w:firstLine="480" w:firstLineChars="200"/>
        <w:rPr>
          <w:rFonts w:hint="eastAsia" w:ascii="仿宋" w:hAnsi="仿宋" w:eastAsia="仿宋" w:cs="仿宋"/>
          <w:bCs/>
          <w:snapToGrid w:val="0"/>
          <w:color w:val="000000"/>
          <w:sz w:val="24"/>
          <w:szCs w:val="24"/>
        </w:rPr>
      </w:pPr>
      <w:r>
        <w:rPr>
          <w:rFonts w:hint="eastAsia" w:ascii="仿宋" w:hAnsi="仿宋" w:eastAsia="仿宋" w:cs="仿宋"/>
          <w:bCs/>
          <w:snapToGrid w:val="0"/>
          <w:color w:val="000000"/>
          <w:sz w:val="24"/>
          <w:szCs w:val="24"/>
        </w:rPr>
        <w:t>附件1：</w:t>
      </w:r>
      <w:r>
        <w:rPr>
          <w:rFonts w:hint="eastAsia" w:ascii="仿宋" w:hAnsi="仿宋" w:eastAsia="仿宋" w:cs="仿宋"/>
          <w:color w:val="000000"/>
          <w:sz w:val="24"/>
          <w:szCs w:val="24"/>
        </w:rPr>
        <w:t>合同协议书</w:t>
      </w:r>
    </w:p>
    <w:p w14:paraId="7DA22442">
      <w:pPr>
        <w:spacing w:line="360" w:lineRule="auto"/>
        <w:ind w:firstLine="480" w:firstLineChars="200"/>
        <w:rPr>
          <w:rFonts w:hint="eastAsia" w:ascii="仿宋" w:hAnsi="仿宋" w:eastAsia="仿宋" w:cs="仿宋"/>
          <w:bCs/>
          <w:snapToGrid w:val="0"/>
          <w:color w:val="000000"/>
          <w:sz w:val="24"/>
          <w:szCs w:val="24"/>
        </w:rPr>
      </w:pPr>
      <w:r>
        <w:rPr>
          <w:rFonts w:hint="eastAsia" w:ascii="仿宋" w:hAnsi="仿宋" w:eastAsia="仿宋" w:cs="仿宋"/>
          <w:bCs/>
          <w:snapToGrid w:val="0"/>
          <w:color w:val="000000"/>
          <w:sz w:val="24"/>
          <w:szCs w:val="24"/>
        </w:rPr>
        <w:t>附件2：履约保证金</w:t>
      </w:r>
    </w:p>
    <w:p w14:paraId="56B83CCD">
      <w:pPr>
        <w:spacing w:line="360" w:lineRule="auto"/>
        <w:ind w:firstLine="480" w:firstLineChars="200"/>
        <w:rPr>
          <w:rFonts w:hint="eastAsia" w:ascii="仿宋" w:hAnsi="仿宋" w:eastAsia="仿宋" w:cs="仿宋"/>
          <w:bCs/>
          <w:snapToGrid w:val="0"/>
          <w:color w:val="000000"/>
          <w:sz w:val="24"/>
          <w:szCs w:val="24"/>
        </w:rPr>
      </w:pPr>
      <w:r>
        <w:rPr>
          <w:rFonts w:hint="eastAsia" w:ascii="仿宋" w:hAnsi="仿宋" w:eastAsia="仿宋" w:cs="仿宋"/>
          <w:bCs/>
          <w:snapToGrid w:val="0"/>
          <w:color w:val="000000"/>
          <w:sz w:val="24"/>
          <w:szCs w:val="24"/>
        </w:rPr>
        <w:t>附件3：廉政协议</w:t>
      </w:r>
    </w:p>
    <w:p w14:paraId="65573813">
      <w:pPr>
        <w:snapToGrid w:val="0"/>
        <w:spacing w:line="360" w:lineRule="auto"/>
        <w:ind w:firstLine="420" w:firstLineChars="200"/>
        <w:rPr>
          <w:rFonts w:hint="eastAsia" w:ascii="宋体" w:hAnsi="宋体" w:cs="宋体"/>
          <w:color w:val="000000"/>
          <w:szCs w:val="21"/>
          <w:highlight w:val="none"/>
        </w:rPr>
      </w:pPr>
    </w:p>
    <w:p w14:paraId="37711569">
      <w:pPr>
        <w:adjustRightInd w:val="0"/>
        <w:snapToGrid w:val="0"/>
        <w:spacing w:line="360" w:lineRule="auto"/>
        <w:ind w:firstLine="420" w:firstLineChars="200"/>
        <w:rPr>
          <w:rFonts w:hint="eastAsia" w:ascii="宋体" w:hAnsi="宋体" w:cs="宋体"/>
          <w:color w:val="000000"/>
          <w:szCs w:val="21"/>
          <w:highlight w:val="none"/>
        </w:rPr>
      </w:pPr>
    </w:p>
    <w:p w14:paraId="4BDD2888">
      <w:pPr>
        <w:adjustRightInd w:val="0"/>
        <w:snapToGrid w:val="0"/>
        <w:spacing w:line="360" w:lineRule="auto"/>
        <w:rPr>
          <w:rFonts w:hint="eastAsia" w:ascii="宋体" w:hAnsi="宋体" w:cs="宋体"/>
          <w:color w:val="000000"/>
          <w:highlight w:val="none"/>
        </w:rPr>
        <w:sectPr>
          <w:footnotePr>
            <w:numFmt w:val="decimalEnclosedCircleChinese"/>
            <w:numRestart w:val="eachPage"/>
          </w:footnotePr>
          <w:type w:val="continuous"/>
          <w:pgSz w:w="11906" w:h="16838"/>
          <w:pgMar w:top="1134" w:right="1134" w:bottom="1134" w:left="1134" w:header="851" w:footer="992" w:gutter="0"/>
          <w:cols w:space="720" w:num="1"/>
          <w:docGrid w:linePitch="312" w:charSpace="0"/>
        </w:sectPr>
      </w:pPr>
    </w:p>
    <w:p w14:paraId="13B4C4C6">
      <w:pPr>
        <w:pStyle w:val="3"/>
        <w:ind w:firstLine="643" w:firstLineChars="200"/>
        <w:jc w:val="center"/>
        <w:rPr>
          <w:rFonts w:hint="eastAsia" w:ascii="仿宋" w:hAnsi="仿宋" w:eastAsia="仿宋" w:cs="仿宋"/>
          <w:color w:val="000000"/>
        </w:rPr>
      </w:pPr>
      <w:bookmarkStart w:id="397" w:name="_Toc31322"/>
      <w:bookmarkStart w:id="398" w:name="_Toc19130"/>
      <w:bookmarkStart w:id="399" w:name="_Toc8423"/>
      <w:r>
        <w:rPr>
          <w:rFonts w:hint="eastAsia" w:ascii="仿宋" w:hAnsi="仿宋" w:eastAsia="仿宋" w:cs="仿宋"/>
          <w:color w:val="000000"/>
        </w:rPr>
        <w:t>第</w:t>
      </w:r>
      <w:r>
        <w:rPr>
          <w:rFonts w:hint="eastAsia" w:ascii="仿宋" w:hAnsi="仿宋" w:eastAsia="仿宋" w:cs="仿宋"/>
          <w:color w:val="000000"/>
          <w:lang w:val="en-US" w:eastAsia="zh-CN"/>
        </w:rPr>
        <w:t>二</w:t>
      </w:r>
      <w:r>
        <w:rPr>
          <w:rFonts w:hint="eastAsia" w:ascii="仿宋" w:hAnsi="仿宋" w:eastAsia="仿宋" w:cs="仿宋"/>
          <w:color w:val="000000"/>
        </w:rPr>
        <w:t>节  合同附件格式</w:t>
      </w:r>
      <w:bookmarkEnd w:id="397"/>
      <w:bookmarkEnd w:id="398"/>
      <w:bookmarkEnd w:id="399"/>
    </w:p>
    <w:p w14:paraId="5C9DBD77">
      <w:pPr>
        <w:pStyle w:val="4"/>
        <w:keepNext/>
        <w:keepLines/>
        <w:pageBreakBefore w:val="0"/>
        <w:widowControl w:val="0"/>
        <w:kinsoku/>
        <w:wordWrap/>
        <w:overflowPunct/>
        <w:topLinePunct w:val="0"/>
        <w:autoSpaceDE/>
        <w:autoSpaceDN/>
        <w:bidi w:val="0"/>
        <w:adjustRightInd/>
        <w:snapToGrid/>
        <w:spacing w:before="0" w:after="0"/>
        <w:ind w:firstLine="137"/>
        <w:jc w:val="left"/>
        <w:textAlignment w:val="auto"/>
        <w:rPr>
          <w:rFonts w:hint="eastAsia" w:ascii="仿宋" w:hAnsi="仿宋" w:eastAsia="仿宋" w:cs="仿宋"/>
          <w:color w:val="000000"/>
        </w:rPr>
      </w:pPr>
      <w:bookmarkStart w:id="400" w:name="_Toc13009"/>
      <w:bookmarkStart w:id="401" w:name="_Toc10083"/>
      <w:bookmarkStart w:id="402" w:name="_Toc5887"/>
      <w:r>
        <w:rPr>
          <w:rFonts w:hint="eastAsia" w:ascii="仿宋" w:hAnsi="仿宋" w:eastAsia="仿宋" w:cs="仿宋"/>
          <w:color w:val="000000"/>
        </w:rPr>
        <w:t>附件一：合同协议书</w:t>
      </w:r>
      <w:bookmarkEnd w:id="400"/>
      <w:bookmarkEnd w:id="401"/>
      <w:bookmarkEnd w:id="402"/>
    </w:p>
    <w:p w14:paraId="74CCA0F4">
      <w:pPr>
        <w:bidi w:val="0"/>
        <w:jc w:val="center"/>
        <w:rPr>
          <w:rFonts w:hint="eastAsia" w:ascii="仿宋" w:hAnsi="仿宋" w:eastAsia="仿宋" w:cs="仿宋"/>
          <w:sz w:val="28"/>
          <w:szCs w:val="28"/>
        </w:rPr>
      </w:pPr>
      <w:r>
        <w:rPr>
          <w:rFonts w:hint="eastAsia" w:ascii="仿宋" w:hAnsi="仿宋" w:eastAsia="仿宋" w:cs="仿宋"/>
          <w:sz w:val="28"/>
          <w:szCs w:val="28"/>
        </w:rPr>
        <w:t>合同协议书</w:t>
      </w:r>
    </w:p>
    <w:p w14:paraId="2866A92E">
      <w:pPr>
        <w:jc w:val="center"/>
        <w:rPr>
          <w:rFonts w:hint="eastAsia"/>
        </w:rPr>
      </w:pPr>
    </w:p>
    <w:p w14:paraId="56B8F3C8">
      <w:pPr>
        <w:tabs>
          <w:tab w:val="left" w:pos="2440"/>
          <w:tab w:val="left" w:pos="4960"/>
        </w:tabs>
        <w:autoSpaceDE w:val="0"/>
        <w:autoSpaceDN w:val="0"/>
        <w:adjustRightInd w:val="0"/>
        <w:spacing w:line="440" w:lineRule="exact"/>
        <w:ind w:firstLine="480" w:firstLineChars="200"/>
        <w:contextualSpacing/>
        <w:jc w:val="left"/>
        <w:rPr>
          <w:rFonts w:hint="eastAsia" w:ascii="仿宋" w:hAnsi="仿宋" w:eastAsia="仿宋" w:cs="仿宋"/>
          <w:kern w:val="0"/>
          <w:sz w:val="24"/>
          <w:szCs w:val="24"/>
        </w:rPr>
      </w:pPr>
      <w:r>
        <w:rPr>
          <w:rFonts w:hint="eastAsia" w:ascii="仿宋" w:hAnsi="仿宋" w:eastAsia="仿宋" w:cs="仿宋"/>
          <w:kern w:val="0"/>
          <w:sz w:val="24"/>
          <w:szCs w:val="24"/>
          <w:u w:val="single"/>
        </w:rPr>
        <w:tab/>
      </w:r>
      <w:r>
        <w:rPr>
          <w:rFonts w:hint="eastAsia" w:ascii="仿宋" w:hAnsi="仿宋" w:eastAsia="仿宋" w:cs="仿宋"/>
          <w:spacing w:val="-2"/>
          <w:kern w:val="0"/>
          <w:sz w:val="24"/>
          <w:szCs w:val="24"/>
        </w:rPr>
        <w:t>（甲</w:t>
      </w:r>
      <w:r>
        <w:rPr>
          <w:rFonts w:hint="eastAsia" w:ascii="仿宋" w:hAnsi="仿宋" w:eastAsia="仿宋" w:cs="仿宋"/>
          <w:kern w:val="0"/>
          <w:sz w:val="24"/>
          <w:szCs w:val="24"/>
        </w:rPr>
        <w:t>方名</w:t>
      </w:r>
      <w:r>
        <w:rPr>
          <w:rFonts w:hint="eastAsia" w:ascii="仿宋" w:hAnsi="仿宋" w:eastAsia="仿宋" w:cs="仿宋"/>
          <w:spacing w:val="-2"/>
          <w:kern w:val="0"/>
          <w:sz w:val="24"/>
          <w:szCs w:val="24"/>
        </w:rPr>
        <w:t>称</w:t>
      </w:r>
      <w:r>
        <w:rPr>
          <w:rFonts w:hint="eastAsia" w:ascii="仿宋" w:hAnsi="仿宋" w:eastAsia="仿宋" w:cs="仿宋"/>
          <w:spacing w:val="-67"/>
          <w:kern w:val="0"/>
          <w:sz w:val="24"/>
          <w:szCs w:val="24"/>
        </w:rPr>
        <w:t>，</w:t>
      </w:r>
      <w:r>
        <w:rPr>
          <w:rFonts w:hint="eastAsia" w:ascii="仿宋" w:hAnsi="仿宋" w:eastAsia="仿宋" w:cs="仿宋"/>
          <w:spacing w:val="-2"/>
          <w:kern w:val="0"/>
          <w:sz w:val="24"/>
          <w:szCs w:val="24"/>
        </w:rPr>
        <w:t>以</w:t>
      </w:r>
      <w:r>
        <w:rPr>
          <w:rFonts w:hint="eastAsia" w:ascii="仿宋" w:hAnsi="仿宋" w:eastAsia="仿宋" w:cs="仿宋"/>
          <w:kern w:val="0"/>
          <w:sz w:val="24"/>
          <w:szCs w:val="24"/>
        </w:rPr>
        <w:t>下</w:t>
      </w:r>
      <w:r>
        <w:rPr>
          <w:rFonts w:hint="eastAsia" w:ascii="仿宋" w:hAnsi="仿宋" w:eastAsia="仿宋" w:cs="仿宋"/>
          <w:spacing w:val="-2"/>
          <w:kern w:val="0"/>
          <w:sz w:val="24"/>
          <w:szCs w:val="24"/>
        </w:rPr>
        <w:t>简</w:t>
      </w:r>
      <w:r>
        <w:rPr>
          <w:rFonts w:hint="eastAsia" w:ascii="仿宋" w:hAnsi="仿宋" w:eastAsia="仿宋" w:cs="仿宋"/>
          <w:kern w:val="0"/>
          <w:sz w:val="24"/>
          <w:szCs w:val="24"/>
        </w:rPr>
        <w:t>称“</w:t>
      </w:r>
      <w:r>
        <w:rPr>
          <w:rFonts w:hint="eastAsia" w:ascii="仿宋" w:hAnsi="仿宋" w:eastAsia="仿宋" w:cs="仿宋"/>
          <w:spacing w:val="-2"/>
          <w:kern w:val="0"/>
          <w:sz w:val="24"/>
          <w:szCs w:val="24"/>
        </w:rPr>
        <w:t>甲</w:t>
      </w:r>
      <w:r>
        <w:rPr>
          <w:rFonts w:hint="eastAsia" w:ascii="仿宋" w:hAnsi="仿宋" w:eastAsia="仿宋" w:cs="仿宋"/>
          <w:kern w:val="0"/>
          <w:sz w:val="24"/>
          <w:szCs w:val="24"/>
        </w:rPr>
        <w:t>方”</w:t>
      </w:r>
      <w:r>
        <w:rPr>
          <w:rFonts w:hint="eastAsia" w:ascii="仿宋" w:hAnsi="仿宋" w:eastAsia="仿宋" w:cs="仿宋"/>
          <w:spacing w:val="-70"/>
          <w:kern w:val="0"/>
          <w:sz w:val="24"/>
          <w:szCs w:val="24"/>
        </w:rPr>
        <w:t>）</w:t>
      </w:r>
      <w:r>
        <w:rPr>
          <w:rFonts w:hint="eastAsia" w:ascii="仿宋" w:hAnsi="仿宋" w:eastAsia="仿宋" w:cs="仿宋"/>
          <w:kern w:val="0"/>
          <w:sz w:val="24"/>
          <w:szCs w:val="24"/>
        </w:rPr>
        <w:t>为获</w:t>
      </w:r>
      <w:r>
        <w:rPr>
          <w:rFonts w:hint="eastAsia" w:ascii="仿宋" w:hAnsi="仿宋" w:eastAsia="仿宋" w:cs="仿宋"/>
          <w:spacing w:val="-2"/>
          <w:kern w:val="0"/>
          <w:sz w:val="24"/>
          <w:szCs w:val="24"/>
        </w:rPr>
        <w:t>得</w:t>
      </w:r>
      <w:r>
        <w:rPr>
          <w:rFonts w:hint="eastAsia" w:ascii="仿宋" w:hAnsi="仿宋" w:eastAsia="仿宋" w:cs="仿宋"/>
          <w:kern w:val="0"/>
          <w:sz w:val="24"/>
          <w:szCs w:val="24"/>
          <w:u w:val="single"/>
        </w:rPr>
        <w:tab/>
      </w:r>
      <w:r>
        <w:rPr>
          <w:rFonts w:hint="eastAsia" w:ascii="仿宋" w:hAnsi="仿宋" w:eastAsia="仿宋" w:cs="仿宋"/>
          <w:spacing w:val="-2"/>
          <w:kern w:val="0"/>
          <w:sz w:val="24"/>
          <w:szCs w:val="24"/>
        </w:rPr>
        <w:t>（</w:t>
      </w:r>
      <w:r>
        <w:rPr>
          <w:rFonts w:hint="eastAsia" w:ascii="仿宋" w:hAnsi="仿宋" w:eastAsia="仿宋" w:cs="仿宋"/>
          <w:spacing w:val="-2"/>
          <w:kern w:val="0"/>
          <w:sz w:val="24"/>
          <w:szCs w:val="24"/>
          <w:lang w:val="en-US" w:eastAsia="zh-CN"/>
        </w:rPr>
        <w:t>采购</w:t>
      </w:r>
      <w:r>
        <w:rPr>
          <w:rFonts w:hint="eastAsia" w:ascii="仿宋" w:hAnsi="仿宋" w:eastAsia="仿宋" w:cs="仿宋"/>
          <w:spacing w:val="-2"/>
          <w:kern w:val="0"/>
          <w:sz w:val="24"/>
          <w:szCs w:val="24"/>
        </w:rPr>
        <w:t>项目名</w:t>
      </w:r>
      <w:r>
        <w:rPr>
          <w:rFonts w:hint="eastAsia" w:ascii="仿宋" w:hAnsi="仿宋" w:eastAsia="仿宋" w:cs="仿宋"/>
          <w:kern w:val="0"/>
          <w:sz w:val="24"/>
          <w:szCs w:val="24"/>
        </w:rPr>
        <w:t>称）合同相关服务，已接受</w:t>
      </w:r>
      <w:r>
        <w:rPr>
          <w:rFonts w:hint="eastAsia" w:ascii="仿宋" w:hAnsi="仿宋" w:eastAsia="仿宋" w:cs="仿宋"/>
          <w:kern w:val="0"/>
          <w:sz w:val="24"/>
          <w:szCs w:val="24"/>
          <w:u w:val="single"/>
        </w:rPr>
        <w:tab/>
      </w:r>
      <w:r>
        <w:rPr>
          <w:rFonts w:hint="eastAsia" w:ascii="仿宋" w:hAnsi="仿宋" w:eastAsia="仿宋" w:cs="仿宋"/>
          <w:kern w:val="0"/>
          <w:sz w:val="24"/>
          <w:szCs w:val="24"/>
        </w:rPr>
        <w:t>（乙方名称，以下简称“乙方”）为提供上述合同服务所作的投标</w:t>
      </w:r>
      <w:r>
        <w:rPr>
          <w:rFonts w:hint="eastAsia" w:ascii="仿宋" w:hAnsi="仿宋" w:eastAsia="仿宋" w:cs="仿宋"/>
          <w:spacing w:val="-2"/>
          <w:kern w:val="0"/>
          <w:position w:val="-1"/>
          <w:sz w:val="24"/>
          <w:szCs w:val="24"/>
        </w:rPr>
        <w:t>，</w:t>
      </w:r>
      <w:r>
        <w:rPr>
          <w:rFonts w:hint="eastAsia" w:ascii="仿宋" w:hAnsi="仿宋" w:eastAsia="仿宋" w:cs="仿宋"/>
          <w:kern w:val="0"/>
          <w:position w:val="-1"/>
          <w:sz w:val="24"/>
          <w:szCs w:val="24"/>
        </w:rPr>
        <w:t>甲</w:t>
      </w:r>
      <w:r>
        <w:rPr>
          <w:rFonts w:hint="eastAsia" w:ascii="仿宋" w:hAnsi="仿宋" w:eastAsia="仿宋" w:cs="仿宋"/>
          <w:spacing w:val="-2"/>
          <w:kern w:val="0"/>
          <w:position w:val="-1"/>
          <w:sz w:val="24"/>
          <w:szCs w:val="24"/>
        </w:rPr>
        <w:t>方</w:t>
      </w:r>
      <w:r>
        <w:rPr>
          <w:rFonts w:hint="eastAsia" w:ascii="仿宋" w:hAnsi="仿宋" w:eastAsia="仿宋" w:cs="仿宋"/>
          <w:kern w:val="0"/>
          <w:position w:val="-1"/>
          <w:sz w:val="24"/>
          <w:szCs w:val="24"/>
        </w:rPr>
        <w:t>和乙方</w:t>
      </w:r>
      <w:r>
        <w:rPr>
          <w:rFonts w:hint="eastAsia" w:ascii="仿宋" w:hAnsi="仿宋" w:eastAsia="仿宋" w:cs="仿宋"/>
          <w:spacing w:val="-2"/>
          <w:kern w:val="0"/>
          <w:position w:val="-1"/>
          <w:sz w:val="24"/>
          <w:szCs w:val="24"/>
        </w:rPr>
        <w:t>共</w:t>
      </w:r>
      <w:r>
        <w:rPr>
          <w:rFonts w:hint="eastAsia" w:ascii="仿宋" w:hAnsi="仿宋" w:eastAsia="仿宋" w:cs="仿宋"/>
          <w:kern w:val="0"/>
          <w:position w:val="-1"/>
          <w:sz w:val="24"/>
          <w:szCs w:val="24"/>
        </w:rPr>
        <w:t>同达</w:t>
      </w:r>
      <w:r>
        <w:rPr>
          <w:rFonts w:hint="eastAsia" w:ascii="仿宋" w:hAnsi="仿宋" w:eastAsia="仿宋" w:cs="仿宋"/>
          <w:spacing w:val="-2"/>
          <w:kern w:val="0"/>
          <w:position w:val="-1"/>
          <w:sz w:val="24"/>
          <w:szCs w:val="24"/>
        </w:rPr>
        <w:t>成</w:t>
      </w:r>
      <w:r>
        <w:rPr>
          <w:rFonts w:hint="eastAsia" w:ascii="仿宋" w:hAnsi="仿宋" w:eastAsia="仿宋" w:cs="仿宋"/>
          <w:kern w:val="0"/>
          <w:position w:val="-1"/>
          <w:sz w:val="24"/>
          <w:szCs w:val="24"/>
        </w:rPr>
        <w:t>如</w:t>
      </w:r>
      <w:r>
        <w:rPr>
          <w:rFonts w:hint="eastAsia" w:ascii="仿宋" w:hAnsi="仿宋" w:eastAsia="仿宋" w:cs="仿宋"/>
          <w:spacing w:val="-2"/>
          <w:kern w:val="0"/>
          <w:position w:val="-1"/>
          <w:sz w:val="24"/>
          <w:szCs w:val="24"/>
        </w:rPr>
        <w:t>下</w:t>
      </w:r>
      <w:r>
        <w:rPr>
          <w:rFonts w:hint="eastAsia" w:ascii="仿宋" w:hAnsi="仿宋" w:eastAsia="仿宋" w:cs="仿宋"/>
          <w:kern w:val="0"/>
          <w:position w:val="-1"/>
          <w:sz w:val="24"/>
          <w:szCs w:val="24"/>
        </w:rPr>
        <w:t>协</w:t>
      </w:r>
      <w:r>
        <w:rPr>
          <w:rFonts w:hint="eastAsia" w:ascii="仿宋" w:hAnsi="仿宋" w:eastAsia="仿宋" w:cs="仿宋"/>
          <w:spacing w:val="-2"/>
          <w:kern w:val="0"/>
          <w:position w:val="-1"/>
          <w:sz w:val="24"/>
          <w:szCs w:val="24"/>
        </w:rPr>
        <w:t>议</w:t>
      </w:r>
      <w:r>
        <w:rPr>
          <w:rFonts w:hint="eastAsia" w:ascii="仿宋" w:hAnsi="仿宋" w:eastAsia="仿宋" w:cs="仿宋"/>
          <w:kern w:val="0"/>
          <w:position w:val="-1"/>
          <w:sz w:val="24"/>
          <w:szCs w:val="24"/>
        </w:rPr>
        <w:t>：</w:t>
      </w:r>
    </w:p>
    <w:p w14:paraId="77034FB1">
      <w:pPr>
        <w:tabs>
          <w:tab w:val="left" w:pos="2440"/>
          <w:tab w:val="left" w:pos="4960"/>
        </w:tabs>
        <w:autoSpaceDE w:val="0"/>
        <w:autoSpaceDN w:val="0"/>
        <w:adjustRightInd w:val="0"/>
        <w:spacing w:line="440" w:lineRule="exact"/>
        <w:ind w:firstLine="480" w:firstLineChars="200"/>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1.本协议书与下列文件一起构成合同文件：</w:t>
      </w:r>
    </w:p>
    <w:p w14:paraId="3570FAD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）本合同及其补充合同、变更协议；</w:t>
      </w:r>
    </w:p>
    <w:p w14:paraId="5D00CA7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）成交通知书；</w:t>
      </w:r>
    </w:p>
    <w:p w14:paraId="04175CB6">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采购</w:t>
      </w:r>
      <w:r>
        <w:rPr>
          <w:rFonts w:hint="eastAsia" w:ascii="仿宋" w:hAnsi="仿宋" w:eastAsia="仿宋" w:cs="仿宋"/>
          <w:sz w:val="24"/>
          <w:szCs w:val="24"/>
        </w:rPr>
        <w:t>文件及附件（含澄清或者修改文件）；</w:t>
      </w:r>
    </w:p>
    <w:p w14:paraId="7B37EF54">
      <w:p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响应</w:t>
      </w:r>
      <w:r>
        <w:rPr>
          <w:rFonts w:hint="eastAsia" w:ascii="仿宋" w:hAnsi="仿宋" w:eastAsia="仿宋" w:cs="仿宋"/>
          <w:sz w:val="24"/>
          <w:szCs w:val="24"/>
        </w:rPr>
        <w:t>文件及附件（含澄清或者说明文件）</w:t>
      </w:r>
      <w:r>
        <w:rPr>
          <w:rFonts w:hint="eastAsia" w:ascii="仿宋" w:hAnsi="仿宋" w:eastAsia="仿宋" w:cs="仿宋"/>
          <w:sz w:val="24"/>
          <w:szCs w:val="24"/>
          <w:lang w:val="en-US" w:eastAsia="zh-CN"/>
        </w:rPr>
        <w:t>;</w:t>
      </w:r>
    </w:p>
    <w:p w14:paraId="0F9BBBBD">
      <w:pPr>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其他合同文件。</w:t>
      </w:r>
    </w:p>
    <w:p w14:paraId="5A48CA91">
      <w:pPr>
        <w:autoSpaceDE w:val="0"/>
        <w:autoSpaceDN w:val="0"/>
        <w:adjustRightInd w:val="0"/>
        <w:spacing w:line="440" w:lineRule="exact"/>
        <w:ind w:firstLine="480" w:firstLineChars="200"/>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2"/>
          <w:kern w:val="0"/>
          <w:sz w:val="24"/>
          <w:szCs w:val="24"/>
        </w:rPr>
        <w:t>上</w:t>
      </w:r>
      <w:r>
        <w:rPr>
          <w:rFonts w:hint="eastAsia" w:ascii="仿宋" w:hAnsi="仿宋" w:eastAsia="仿宋" w:cs="仿宋"/>
          <w:kern w:val="0"/>
          <w:sz w:val="24"/>
          <w:szCs w:val="24"/>
        </w:rPr>
        <w:t>述</w:t>
      </w:r>
      <w:r>
        <w:rPr>
          <w:rFonts w:hint="eastAsia" w:ascii="仿宋" w:hAnsi="仿宋" w:eastAsia="仿宋" w:cs="仿宋"/>
          <w:spacing w:val="-2"/>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2"/>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2"/>
          <w:kern w:val="0"/>
          <w:sz w:val="24"/>
          <w:szCs w:val="24"/>
        </w:rPr>
        <w:t>互</w:t>
      </w:r>
      <w:r>
        <w:rPr>
          <w:rFonts w:hint="eastAsia" w:ascii="仿宋" w:hAnsi="仿宋" w:eastAsia="仿宋" w:cs="仿宋"/>
          <w:kern w:val="0"/>
          <w:sz w:val="24"/>
          <w:szCs w:val="24"/>
        </w:rPr>
        <w:t>相</w:t>
      </w:r>
      <w:r>
        <w:rPr>
          <w:rFonts w:hint="eastAsia" w:ascii="仿宋" w:hAnsi="仿宋" w:eastAsia="仿宋" w:cs="仿宋"/>
          <w:spacing w:val="-2"/>
          <w:kern w:val="0"/>
          <w:sz w:val="24"/>
          <w:szCs w:val="24"/>
        </w:rPr>
        <w:t>补充</w:t>
      </w:r>
      <w:r>
        <w:rPr>
          <w:rFonts w:hint="eastAsia" w:ascii="仿宋" w:hAnsi="仿宋" w:eastAsia="仿宋" w:cs="仿宋"/>
          <w:kern w:val="0"/>
          <w:sz w:val="24"/>
          <w:szCs w:val="24"/>
        </w:rPr>
        <w:t>和解</w:t>
      </w:r>
      <w:r>
        <w:rPr>
          <w:rFonts w:hint="eastAsia" w:ascii="仿宋" w:hAnsi="仿宋" w:eastAsia="仿宋" w:cs="仿宋"/>
          <w:spacing w:val="-2"/>
          <w:kern w:val="0"/>
          <w:sz w:val="24"/>
          <w:szCs w:val="24"/>
        </w:rPr>
        <w:t>释</w:t>
      </w:r>
      <w:r>
        <w:rPr>
          <w:rFonts w:hint="eastAsia" w:ascii="仿宋" w:hAnsi="仿宋" w:eastAsia="仿宋" w:cs="仿宋"/>
          <w:spacing w:val="-12"/>
          <w:kern w:val="0"/>
          <w:sz w:val="24"/>
          <w:szCs w:val="24"/>
        </w:rPr>
        <w:t>。</w:t>
      </w:r>
      <w:r>
        <w:rPr>
          <w:rFonts w:hint="eastAsia" w:ascii="仿宋" w:hAnsi="仿宋" w:eastAsia="仿宋" w:cs="仿宋"/>
          <w:spacing w:val="-2"/>
          <w:kern w:val="0"/>
          <w:sz w:val="24"/>
          <w:szCs w:val="24"/>
        </w:rPr>
        <w:t>如</w:t>
      </w:r>
      <w:r>
        <w:rPr>
          <w:rFonts w:hint="eastAsia" w:ascii="仿宋" w:hAnsi="仿宋" w:eastAsia="仿宋" w:cs="仿宋"/>
          <w:kern w:val="0"/>
          <w:sz w:val="24"/>
          <w:szCs w:val="24"/>
        </w:rPr>
        <w:t>果</w:t>
      </w:r>
      <w:r>
        <w:rPr>
          <w:rFonts w:hint="eastAsia" w:ascii="仿宋" w:hAnsi="仿宋" w:eastAsia="仿宋" w:cs="仿宋"/>
          <w:spacing w:val="-2"/>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2"/>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2"/>
          <w:kern w:val="0"/>
          <w:sz w:val="24"/>
          <w:szCs w:val="24"/>
        </w:rPr>
        <w:t>之</w:t>
      </w:r>
      <w:r>
        <w:rPr>
          <w:rFonts w:hint="eastAsia" w:ascii="仿宋" w:hAnsi="仿宋" w:eastAsia="仿宋" w:cs="仿宋"/>
          <w:kern w:val="0"/>
          <w:sz w:val="24"/>
          <w:szCs w:val="24"/>
        </w:rPr>
        <w:t>间存</w:t>
      </w:r>
      <w:r>
        <w:rPr>
          <w:rFonts w:hint="eastAsia" w:ascii="仿宋" w:hAnsi="仿宋" w:eastAsia="仿宋" w:cs="仿宋"/>
          <w:spacing w:val="-2"/>
          <w:kern w:val="0"/>
          <w:sz w:val="24"/>
          <w:szCs w:val="24"/>
        </w:rPr>
        <w:t>在</w:t>
      </w:r>
      <w:r>
        <w:rPr>
          <w:rFonts w:hint="eastAsia" w:ascii="仿宋" w:hAnsi="仿宋" w:eastAsia="仿宋" w:cs="仿宋"/>
          <w:kern w:val="0"/>
          <w:sz w:val="24"/>
          <w:szCs w:val="24"/>
        </w:rPr>
        <w:t>矛</w:t>
      </w:r>
      <w:r>
        <w:rPr>
          <w:rFonts w:hint="eastAsia" w:ascii="仿宋" w:hAnsi="仿宋" w:eastAsia="仿宋" w:cs="仿宋"/>
          <w:spacing w:val="-2"/>
          <w:kern w:val="0"/>
          <w:sz w:val="24"/>
          <w:szCs w:val="24"/>
        </w:rPr>
        <w:t>盾</w:t>
      </w:r>
      <w:r>
        <w:rPr>
          <w:rFonts w:hint="eastAsia" w:ascii="仿宋" w:hAnsi="仿宋" w:eastAsia="仿宋" w:cs="仿宋"/>
          <w:kern w:val="0"/>
          <w:sz w:val="24"/>
          <w:szCs w:val="24"/>
        </w:rPr>
        <w:t>或</w:t>
      </w:r>
      <w:r>
        <w:rPr>
          <w:rFonts w:hint="eastAsia" w:ascii="仿宋" w:hAnsi="仿宋" w:eastAsia="仿宋" w:cs="仿宋"/>
          <w:spacing w:val="-2"/>
          <w:kern w:val="0"/>
          <w:sz w:val="24"/>
          <w:szCs w:val="24"/>
        </w:rPr>
        <w:t>不</w:t>
      </w:r>
      <w:r>
        <w:rPr>
          <w:rFonts w:hint="eastAsia" w:ascii="仿宋" w:hAnsi="仿宋" w:eastAsia="仿宋" w:cs="仿宋"/>
          <w:kern w:val="0"/>
          <w:sz w:val="24"/>
          <w:szCs w:val="24"/>
        </w:rPr>
        <w:t>一</w:t>
      </w:r>
      <w:r>
        <w:rPr>
          <w:rFonts w:hint="eastAsia" w:ascii="仿宋" w:hAnsi="仿宋" w:eastAsia="仿宋" w:cs="仿宋"/>
          <w:spacing w:val="-2"/>
          <w:kern w:val="0"/>
          <w:sz w:val="24"/>
          <w:szCs w:val="24"/>
        </w:rPr>
        <w:t>致</w:t>
      </w:r>
      <w:r>
        <w:rPr>
          <w:rFonts w:hint="eastAsia" w:ascii="仿宋" w:hAnsi="仿宋" w:eastAsia="仿宋" w:cs="仿宋"/>
          <w:kern w:val="0"/>
          <w:sz w:val="24"/>
          <w:szCs w:val="24"/>
        </w:rPr>
        <w:t>之</w:t>
      </w:r>
      <w:r>
        <w:rPr>
          <w:rFonts w:hint="eastAsia" w:ascii="仿宋" w:hAnsi="仿宋" w:eastAsia="仿宋" w:cs="仿宋"/>
          <w:spacing w:val="-2"/>
          <w:kern w:val="0"/>
          <w:sz w:val="24"/>
          <w:szCs w:val="24"/>
        </w:rPr>
        <w:t>处</w:t>
      </w:r>
      <w:r>
        <w:rPr>
          <w:rFonts w:hint="eastAsia" w:ascii="仿宋" w:hAnsi="仿宋" w:eastAsia="仿宋" w:cs="仿宋"/>
          <w:spacing w:val="-12"/>
          <w:kern w:val="0"/>
          <w:sz w:val="24"/>
          <w:szCs w:val="24"/>
        </w:rPr>
        <w:t>，</w:t>
      </w:r>
      <w:r>
        <w:rPr>
          <w:rFonts w:hint="eastAsia" w:ascii="仿宋" w:hAnsi="仿宋" w:eastAsia="仿宋" w:cs="仿宋"/>
          <w:kern w:val="0"/>
          <w:sz w:val="24"/>
          <w:szCs w:val="24"/>
        </w:rPr>
        <w:t>以</w:t>
      </w:r>
      <w:r>
        <w:rPr>
          <w:rFonts w:hint="eastAsia" w:ascii="仿宋" w:hAnsi="仿宋" w:eastAsia="仿宋" w:cs="仿宋"/>
          <w:spacing w:val="-2"/>
          <w:kern w:val="0"/>
          <w:sz w:val="24"/>
          <w:szCs w:val="24"/>
        </w:rPr>
        <w:t>上</w:t>
      </w:r>
      <w:r>
        <w:rPr>
          <w:rFonts w:hint="eastAsia" w:ascii="仿宋" w:hAnsi="仿宋" w:eastAsia="仿宋" w:cs="仿宋"/>
          <w:kern w:val="0"/>
          <w:sz w:val="24"/>
          <w:szCs w:val="24"/>
        </w:rPr>
        <w:t>述</w:t>
      </w:r>
      <w:r>
        <w:rPr>
          <w:rFonts w:hint="eastAsia" w:ascii="仿宋" w:hAnsi="仿宋" w:eastAsia="仿宋" w:cs="仿宋"/>
          <w:spacing w:val="-2"/>
          <w:kern w:val="0"/>
          <w:sz w:val="24"/>
          <w:szCs w:val="24"/>
        </w:rPr>
        <w:t>文</w:t>
      </w:r>
      <w:r>
        <w:rPr>
          <w:rFonts w:hint="eastAsia" w:ascii="仿宋" w:hAnsi="仿宋" w:eastAsia="仿宋" w:cs="仿宋"/>
          <w:kern w:val="0"/>
          <w:sz w:val="24"/>
          <w:szCs w:val="24"/>
        </w:rPr>
        <w:t>件的排</w:t>
      </w:r>
      <w:r>
        <w:rPr>
          <w:rFonts w:hint="eastAsia" w:ascii="仿宋" w:hAnsi="仿宋" w:eastAsia="仿宋" w:cs="仿宋"/>
          <w:spacing w:val="-2"/>
          <w:kern w:val="0"/>
          <w:sz w:val="24"/>
          <w:szCs w:val="24"/>
        </w:rPr>
        <w:t>列</w:t>
      </w:r>
      <w:r>
        <w:rPr>
          <w:rFonts w:hint="eastAsia" w:ascii="仿宋" w:hAnsi="仿宋" w:eastAsia="仿宋" w:cs="仿宋"/>
          <w:kern w:val="0"/>
          <w:sz w:val="24"/>
          <w:szCs w:val="24"/>
        </w:rPr>
        <w:t>顺</w:t>
      </w:r>
      <w:r>
        <w:rPr>
          <w:rFonts w:hint="eastAsia" w:ascii="仿宋" w:hAnsi="仿宋" w:eastAsia="仿宋" w:cs="仿宋"/>
          <w:spacing w:val="-2"/>
          <w:kern w:val="0"/>
          <w:sz w:val="24"/>
          <w:szCs w:val="24"/>
        </w:rPr>
        <w:t>序</w:t>
      </w:r>
      <w:r>
        <w:rPr>
          <w:rFonts w:hint="eastAsia" w:ascii="仿宋" w:hAnsi="仿宋" w:eastAsia="仿宋" w:cs="仿宋"/>
          <w:kern w:val="0"/>
          <w:sz w:val="24"/>
          <w:szCs w:val="24"/>
        </w:rPr>
        <w:t>在</w:t>
      </w:r>
      <w:r>
        <w:rPr>
          <w:rFonts w:hint="eastAsia" w:ascii="仿宋" w:hAnsi="仿宋" w:eastAsia="仿宋" w:cs="仿宋"/>
          <w:spacing w:val="-2"/>
          <w:kern w:val="0"/>
          <w:sz w:val="24"/>
          <w:szCs w:val="24"/>
        </w:rPr>
        <w:t>先</w:t>
      </w:r>
      <w:r>
        <w:rPr>
          <w:rFonts w:hint="eastAsia" w:ascii="仿宋" w:hAnsi="仿宋" w:eastAsia="仿宋" w:cs="仿宋"/>
          <w:kern w:val="0"/>
          <w:sz w:val="24"/>
          <w:szCs w:val="24"/>
        </w:rPr>
        <w:t>者</w:t>
      </w:r>
      <w:r>
        <w:rPr>
          <w:rFonts w:hint="eastAsia" w:ascii="仿宋" w:hAnsi="仿宋" w:eastAsia="仿宋" w:cs="仿宋"/>
          <w:spacing w:val="-2"/>
          <w:kern w:val="0"/>
          <w:sz w:val="24"/>
          <w:szCs w:val="24"/>
        </w:rPr>
        <w:t>为</w:t>
      </w:r>
      <w:r>
        <w:rPr>
          <w:rFonts w:hint="eastAsia" w:ascii="仿宋" w:hAnsi="仿宋" w:eastAsia="仿宋" w:cs="仿宋"/>
          <w:kern w:val="0"/>
          <w:sz w:val="24"/>
          <w:szCs w:val="24"/>
        </w:rPr>
        <w:t>准。</w:t>
      </w:r>
    </w:p>
    <w:p w14:paraId="3B489C13">
      <w:pPr>
        <w:tabs>
          <w:tab w:val="left" w:pos="4980"/>
          <w:tab w:val="left" w:pos="6760"/>
        </w:tabs>
        <w:autoSpaceDE w:val="0"/>
        <w:autoSpaceDN w:val="0"/>
        <w:adjustRightInd w:val="0"/>
        <w:spacing w:line="440" w:lineRule="exact"/>
        <w:ind w:firstLine="480" w:firstLineChars="200"/>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2"/>
          <w:kern w:val="0"/>
          <w:sz w:val="24"/>
          <w:szCs w:val="24"/>
        </w:rPr>
        <w:t>签</w:t>
      </w:r>
      <w:r>
        <w:rPr>
          <w:rFonts w:hint="eastAsia" w:ascii="仿宋" w:hAnsi="仿宋" w:eastAsia="仿宋" w:cs="仿宋"/>
          <w:kern w:val="0"/>
          <w:sz w:val="24"/>
          <w:szCs w:val="24"/>
        </w:rPr>
        <w:t>约</w:t>
      </w:r>
      <w:r>
        <w:rPr>
          <w:rFonts w:hint="eastAsia" w:ascii="仿宋" w:hAnsi="仿宋" w:eastAsia="仿宋" w:cs="仿宋"/>
          <w:spacing w:val="-2"/>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2"/>
          <w:kern w:val="0"/>
          <w:sz w:val="24"/>
          <w:szCs w:val="24"/>
        </w:rPr>
        <w:t>价</w:t>
      </w:r>
      <w:r>
        <w:rPr>
          <w:rFonts w:hint="eastAsia" w:ascii="仿宋" w:hAnsi="仿宋" w:eastAsia="仿宋" w:cs="仿宋"/>
          <w:kern w:val="0"/>
          <w:sz w:val="24"/>
          <w:szCs w:val="24"/>
        </w:rPr>
        <w:t>：</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民</w:t>
      </w:r>
      <w:r>
        <w:rPr>
          <w:rFonts w:hint="eastAsia" w:ascii="仿宋" w:hAnsi="仿宋" w:eastAsia="仿宋" w:cs="仿宋"/>
          <w:spacing w:val="-2"/>
          <w:kern w:val="0"/>
          <w:sz w:val="24"/>
          <w:szCs w:val="24"/>
        </w:rPr>
        <w:t>币（</w:t>
      </w:r>
      <w:r>
        <w:rPr>
          <w:rFonts w:hint="eastAsia" w:ascii="仿宋" w:hAnsi="仿宋" w:eastAsia="仿宋" w:cs="仿宋"/>
          <w:kern w:val="0"/>
          <w:sz w:val="24"/>
          <w:szCs w:val="24"/>
        </w:rPr>
        <w:t>大写</w:t>
      </w:r>
      <w:r>
        <w:rPr>
          <w:rFonts w:hint="eastAsia" w:ascii="仿宋" w:hAnsi="仿宋" w:eastAsia="仿宋" w:cs="仿宋"/>
          <w:spacing w:val="-2"/>
          <w:kern w:val="0"/>
          <w:sz w:val="24"/>
          <w:szCs w:val="24"/>
        </w:rPr>
        <w:t>）</w:t>
      </w:r>
      <w:r>
        <w:rPr>
          <w:rFonts w:hint="eastAsia" w:ascii="仿宋" w:hAnsi="仿宋" w:eastAsia="仿宋" w:cs="仿宋"/>
          <w:kern w:val="0"/>
          <w:sz w:val="24"/>
          <w:szCs w:val="24"/>
          <w:u w:val="single"/>
        </w:rPr>
        <w:tab/>
      </w:r>
      <w:r>
        <w:rPr>
          <w:rFonts w:hint="eastAsia" w:ascii="仿宋" w:hAnsi="仿宋" w:eastAsia="仿宋" w:cs="仿宋"/>
          <w:spacing w:val="-2"/>
          <w:kern w:val="0"/>
          <w:sz w:val="24"/>
          <w:szCs w:val="24"/>
        </w:rPr>
        <w:t>（</w:t>
      </w:r>
      <w:r>
        <w:rPr>
          <w:rFonts w:hint="eastAsia" w:ascii="仿宋" w:hAnsi="仿宋" w:eastAsia="仿宋" w:cs="仿宋"/>
          <w:spacing w:val="-61"/>
          <w:w w:val="156"/>
          <w:kern w:val="0"/>
          <w:sz w:val="24"/>
          <w:szCs w:val="24"/>
        </w:rPr>
        <w:t>¥</w:t>
      </w:r>
      <w:r>
        <w:rPr>
          <w:rFonts w:hint="eastAsia" w:ascii="仿宋" w:hAnsi="仿宋" w:eastAsia="仿宋" w:cs="仿宋"/>
          <w:kern w:val="0"/>
          <w:sz w:val="24"/>
          <w:szCs w:val="24"/>
          <w:u w:val="single"/>
        </w:rPr>
        <w:tab/>
      </w:r>
      <w:r>
        <w:rPr>
          <w:rFonts w:hint="eastAsia" w:ascii="仿宋" w:hAnsi="仿宋" w:eastAsia="仿宋" w:cs="仿宋"/>
          <w:spacing w:val="-106"/>
          <w:kern w:val="0"/>
          <w:sz w:val="24"/>
          <w:szCs w:val="24"/>
        </w:rPr>
        <w:t>）</w:t>
      </w:r>
      <w:r>
        <w:rPr>
          <w:rFonts w:hint="eastAsia" w:ascii="仿宋" w:hAnsi="仿宋" w:eastAsia="仿宋" w:cs="仿宋"/>
          <w:kern w:val="0"/>
          <w:sz w:val="24"/>
          <w:szCs w:val="24"/>
        </w:rPr>
        <w:t>。</w:t>
      </w:r>
    </w:p>
    <w:p w14:paraId="1DEE9F11">
      <w:pPr>
        <w:autoSpaceDE w:val="0"/>
        <w:autoSpaceDN w:val="0"/>
        <w:adjustRightInd w:val="0"/>
        <w:spacing w:line="440" w:lineRule="exact"/>
        <w:ind w:firstLine="480" w:firstLineChars="200"/>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4.</w:t>
      </w:r>
      <w:r>
        <w:rPr>
          <w:rFonts w:hint="eastAsia" w:ascii="仿宋" w:hAnsi="仿宋" w:eastAsia="仿宋" w:cs="仿宋"/>
          <w:spacing w:val="-2"/>
          <w:kern w:val="0"/>
          <w:sz w:val="24"/>
          <w:szCs w:val="24"/>
        </w:rPr>
        <w:t>乙</w:t>
      </w:r>
      <w:r>
        <w:rPr>
          <w:rFonts w:hint="eastAsia" w:ascii="仿宋" w:hAnsi="仿宋" w:eastAsia="仿宋" w:cs="仿宋"/>
          <w:kern w:val="0"/>
          <w:sz w:val="24"/>
          <w:szCs w:val="24"/>
        </w:rPr>
        <w:t>方</w:t>
      </w:r>
      <w:r>
        <w:rPr>
          <w:rFonts w:hint="eastAsia" w:ascii="仿宋" w:hAnsi="仿宋" w:eastAsia="仿宋" w:cs="仿宋"/>
          <w:spacing w:val="-2"/>
          <w:kern w:val="0"/>
          <w:sz w:val="24"/>
          <w:szCs w:val="24"/>
        </w:rPr>
        <w:t>承</w:t>
      </w:r>
      <w:r>
        <w:rPr>
          <w:rFonts w:hint="eastAsia" w:ascii="仿宋" w:hAnsi="仿宋" w:eastAsia="仿宋" w:cs="仿宋"/>
          <w:kern w:val="0"/>
          <w:sz w:val="24"/>
          <w:szCs w:val="24"/>
        </w:rPr>
        <w:t>诺</w:t>
      </w:r>
      <w:r>
        <w:rPr>
          <w:rFonts w:hint="eastAsia" w:ascii="仿宋" w:hAnsi="仿宋" w:eastAsia="仿宋" w:cs="仿宋"/>
          <w:spacing w:val="-2"/>
          <w:kern w:val="0"/>
          <w:sz w:val="24"/>
          <w:szCs w:val="24"/>
        </w:rPr>
        <w:t>保</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完</w:t>
      </w:r>
      <w:r>
        <w:rPr>
          <w:rFonts w:hint="eastAsia" w:ascii="仿宋" w:hAnsi="仿宋" w:eastAsia="仿宋" w:cs="仿宋"/>
          <w:kern w:val="0"/>
          <w:sz w:val="24"/>
          <w:szCs w:val="24"/>
        </w:rPr>
        <w:t>全</w:t>
      </w:r>
      <w:r>
        <w:rPr>
          <w:rFonts w:hint="eastAsia" w:ascii="仿宋" w:hAnsi="仿宋" w:eastAsia="仿宋" w:cs="仿宋"/>
          <w:spacing w:val="-2"/>
          <w:kern w:val="0"/>
          <w:sz w:val="24"/>
          <w:szCs w:val="24"/>
        </w:rPr>
        <w:t>按照</w:t>
      </w:r>
      <w:r>
        <w:rPr>
          <w:rFonts w:hint="eastAsia" w:ascii="仿宋" w:hAnsi="仿宋" w:eastAsia="仿宋" w:cs="仿宋"/>
          <w:kern w:val="0"/>
          <w:sz w:val="24"/>
          <w:szCs w:val="24"/>
        </w:rPr>
        <w:t>合同</w:t>
      </w:r>
      <w:r>
        <w:rPr>
          <w:rFonts w:hint="eastAsia" w:ascii="仿宋" w:hAnsi="仿宋" w:eastAsia="仿宋" w:cs="仿宋"/>
          <w:spacing w:val="-2"/>
          <w:kern w:val="0"/>
          <w:sz w:val="24"/>
          <w:szCs w:val="24"/>
        </w:rPr>
        <w:t>约</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提</w:t>
      </w:r>
      <w:r>
        <w:rPr>
          <w:rFonts w:hint="eastAsia" w:ascii="仿宋" w:hAnsi="仿宋" w:eastAsia="仿宋" w:cs="仿宋"/>
          <w:kern w:val="0"/>
          <w:sz w:val="24"/>
          <w:szCs w:val="24"/>
        </w:rPr>
        <w:t>供合同服务。</w:t>
      </w:r>
    </w:p>
    <w:p w14:paraId="5E06BEF5">
      <w:pPr>
        <w:autoSpaceDE w:val="0"/>
        <w:autoSpaceDN w:val="0"/>
        <w:adjustRightInd w:val="0"/>
        <w:spacing w:line="440" w:lineRule="exact"/>
        <w:ind w:firstLine="480" w:firstLineChars="200"/>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spacing w:val="-2"/>
          <w:kern w:val="0"/>
          <w:sz w:val="24"/>
          <w:szCs w:val="24"/>
        </w:rPr>
        <w:t>甲</w:t>
      </w:r>
      <w:r>
        <w:rPr>
          <w:rFonts w:hint="eastAsia" w:ascii="仿宋" w:hAnsi="仿宋" w:eastAsia="仿宋" w:cs="仿宋"/>
          <w:kern w:val="0"/>
          <w:sz w:val="24"/>
          <w:szCs w:val="24"/>
        </w:rPr>
        <w:t>方</w:t>
      </w:r>
      <w:r>
        <w:rPr>
          <w:rFonts w:hint="eastAsia" w:ascii="仿宋" w:hAnsi="仿宋" w:eastAsia="仿宋" w:cs="仿宋"/>
          <w:spacing w:val="-2"/>
          <w:kern w:val="0"/>
          <w:sz w:val="24"/>
          <w:szCs w:val="24"/>
        </w:rPr>
        <w:t>承</w:t>
      </w:r>
      <w:r>
        <w:rPr>
          <w:rFonts w:hint="eastAsia" w:ascii="仿宋" w:hAnsi="仿宋" w:eastAsia="仿宋" w:cs="仿宋"/>
          <w:kern w:val="0"/>
          <w:sz w:val="24"/>
          <w:szCs w:val="24"/>
        </w:rPr>
        <w:t>诺</w:t>
      </w:r>
      <w:r>
        <w:rPr>
          <w:rFonts w:hint="eastAsia" w:ascii="仿宋" w:hAnsi="仿宋" w:eastAsia="仿宋" w:cs="仿宋"/>
          <w:spacing w:val="-2"/>
          <w:kern w:val="0"/>
          <w:sz w:val="24"/>
          <w:szCs w:val="24"/>
        </w:rPr>
        <w:t>保</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按</w:t>
      </w:r>
      <w:r>
        <w:rPr>
          <w:rFonts w:hint="eastAsia" w:ascii="仿宋" w:hAnsi="仿宋" w:eastAsia="仿宋" w:cs="仿宋"/>
          <w:kern w:val="0"/>
          <w:sz w:val="24"/>
          <w:szCs w:val="24"/>
        </w:rPr>
        <w:t>照</w:t>
      </w:r>
      <w:r>
        <w:rPr>
          <w:rFonts w:hint="eastAsia" w:ascii="仿宋" w:hAnsi="仿宋" w:eastAsia="仿宋" w:cs="仿宋"/>
          <w:spacing w:val="-2"/>
          <w:kern w:val="0"/>
          <w:sz w:val="24"/>
          <w:szCs w:val="24"/>
        </w:rPr>
        <w:t>合同</w:t>
      </w:r>
      <w:r>
        <w:rPr>
          <w:rFonts w:hint="eastAsia" w:ascii="仿宋" w:hAnsi="仿宋" w:eastAsia="仿宋" w:cs="仿宋"/>
          <w:kern w:val="0"/>
          <w:sz w:val="24"/>
          <w:szCs w:val="24"/>
        </w:rPr>
        <w:t>约定</w:t>
      </w:r>
      <w:r>
        <w:rPr>
          <w:rFonts w:hint="eastAsia" w:ascii="仿宋" w:hAnsi="仿宋" w:eastAsia="仿宋" w:cs="仿宋"/>
          <w:spacing w:val="-2"/>
          <w:kern w:val="0"/>
          <w:sz w:val="24"/>
          <w:szCs w:val="24"/>
        </w:rPr>
        <w:t>的</w:t>
      </w:r>
      <w:r>
        <w:rPr>
          <w:rFonts w:hint="eastAsia" w:ascii="仿宋" w:hAnsi="仿宋" w:eastAsia="仿宋" w:cs="仿宋"/>
          <w:kern w:val="0"/>
          <w:sz w:val="24"/>
          <w:szCs w:val="24"/>
        </w:rPr>
        <w:t>条</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r>
        <w:rPr>
          <w:rFonts w:hint="eastAsia" w:ascii="仿宋" w:hAnsi="仿宋" w:eastAsia="仿宋" w:cs="仿宋"/>
          <w:spacing w:val="-2"/>
          <w:kern w:val="0"/>
          <w:sz w:val="24"/>
          <w:szCs w:val="24"/>
        </w:rPr>
        <w:t>时</w:t>
      </w:r>
      <w:r>
        <w:rPr>
          <w:rFonts w:hint="eastAsia" w:ascii="仿宋" w:hAnsi="仿宋" w:eastAsia="仿宋" w:cs="仿宋"/>
          <w:kern w:val="0"/>
          <w:sz w:val="24"/>
          <w:szCs w:val="24"/>
        </w:rPr>
        <w:t>间</w:t>
      </w:r>
      <w:r>
        <w:rPr>
          <w:rFonts w:hint="eastAsia" w:ascii="仿宋" w:hAnsi="仿宋" w:eastAsia="仿宋" w:cs="仿宋"/>
          <w:spacing w:val="-2"/>
          <w:kern w:val="0"/>
          <w:sz w:val="24"/>
          <w:szCs w:val="24"/>
        </w:rPr>
        <w:t>和</w:t>
      </w:r>
      <w:r>
        <w:rPr>
          <w:rFonts w:hint="eastAsia" w:ascii="仿宋" w:hAnsi="仿宋" w:eastAsia="仿宋" w:cs="仿宋"/>
          <w:kern w:val="0"/>
          <w:sz w:val="24"/>
          <w:szCs w:val="24"/>
        </w:rPr>
        <w:t>方</w:t>
      </w:r>
      <w:r>
        <w:rPr>
          <w:rFonts w:hint="eastAsia" w:ascii="仿宋" w:hAnsi="仿宋" w:eastAsia="仿宋" w:cs="仿宋"/>
          <w:spacing w:val="-2"/>
          <w:kern w:val="0"/>
          <w:sz w:val="24"/>
          <w:szCs w:val="24"/>
        </w:rPr>
        <w:t>式</w:t>
      </w:r>
      <w:r>
        <w:rPr>
          <w:rFonts w:hint="eastAsia" w:ascii="仿宋" w:hAnsi="仿宋" w:eastAsia="仿宋" w:cs="仿宋"/>
          <w:kern w:val="0"/>
          <w:sz w:val="24"/>
          <w:szCs w:val="24"/>
        </w:rPr>
        <w:t>向乙</w:t>
      </w:r>
      <w:r>
        <w:rPr>
          <w:rFonts w:hint="eastAsia" w:ascii="仿宋" w:hAnsi="仿宋" w:eastAsia="仿宋" w:cs="仿宋"/>
          <w:spacing w:val="-2"/>
          <w:kern w:val="0"/>
          <w:sz w:val="24"/>
          <w:szCs w:val="24"/>
        </w:rPr>
        <w:t>方</w:t>
      </w:r>
      <w:r>
        <w:rPr>
          <w:rFonts w:hint="eastAsia" w:ascii="仿宋" w:hAnsi="仿宋" w:eastAsia="仿宋" w:cs="仿宋"/>
          <w:kern w:val="0"/>
          <w:sz w:val="24"/>
          <w:szCs w:val="24"/>
        </w:rPr>
        <w:t>支</w:t>
      </w:r>
      <w:r>
        <w:rPr>
          <w:rFonts w:hint="eastAsia" w:ascii="仿宋" w:hAnsi="仿宋" w:eastAsia="仿宋" w:cs="仿宋"/>
          <w:spacing w:val="-2"/>
          <w:kern w:val="0"/>
          <w:sz w:val="24"/>
          <w:szCs w:val="24"/>
        </w:rPr>
        <w:t>付</w:t>
      </w:r>
      <w:r>
        <w:rPr>
          <w:rFonts w:hint="eastAsia" w:ascii="仿宋" w:hAnsi="仿宋" w:eastAsia="仿宋" w:cs="仿宋"/>
          <w:kern w:val="0"/>
          <w:sz w:val="24"/>
          <w:szCs w:val="24"/>
        </w:rPr>
        <w:t>合</w:t>
      </w:r>
      <w:r>
        <w:rPr>
          <w:rFonts w:hint="eastAsia" w:ascii="仿宋" w:hAnsi="仿宋" w:eastAsia="仿宋" w:cs="仿宋"/>
          <w:spacing w:val="-2"/>
          <w:kern w:val="0"/>
          <w:sz w:val="24"/>
          <w:szCs w:val="24"/>
        </w:rPr>
        <w:t>同</w:t>
      </w:r>
      <w:r>
        <w:rPr>
          <w:rFonts w:hint="eastAsia" w:ascii="仿宋" w:hAnsi="仿宋" w:eastAsia="仿宋" w:cs="仿宋"/>
          <w:kern w:val="0"/>
          <w:sz w:val="24"/>
          <w:szCs w:val="24"/>
        </w:rPr>
        <w:t>价</w:t>
      </w:r>
      <w:r>
        <w:rPr>
          <w:rFonts w:hint="eastAsia" w:ascii="仿宋" w:hAnsi="仿宋" w:eastAsia="仿宋" w:cs="仿宋"/>
          <w:spacing w:val="-2"/>
          <w:kern w:val="0"/>
          <w:sz w:val="24"/>
          <w:szCs w:val="24"/>
        </w:rPr>
        <w:t>款</w:t>
      </w:r>
      <w:r>
        <w:rPr>
          <w:rFonts w:hint="eastAsia" w:ascii="仿宋" w:hAnsi="仿宋" w:eastAsia="仿宋" w:cs="仿宋"/>
          <w:kern w:val="0"/>
          <w:sz w:val="24"/>
          <w:szCs w:val="24"/>
        </w:rPr>
        <w:t>。</w:t>
      </w:r>
    </w:p>
    <w:p w14:paraId="6583D416">
      <w:pPr>
        <w:tabs>
          <w:tab w:val="left" w:pos="3180"/>
          <w:tab w:val="left" w:pos="5600"/>
        </w:tabs>
        <w:autoSpaceDE w:val="0"/>
        <w:autoSpaceDN w:val="0"/>
        <w:adjustRightInd w:val="0"/>
        <w:spacing w:line="440" w:lineRule="exact"/>
        <w:ind w:firstLine="480" w:firstLineChars="200"/>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6.</w:t>
      </w:r>
      <w:r>
        <w:rPr>
          <w:rFonts w:hint="eastAsia" w:ascii="仿宋" w:hAnsi="仿宋" w:eastAsia="仿宋" w:cs="仿宋"/>
          <w:spacing w:val="-2"/>
          <w:kern w:val="0"/>
          <w:sz w:val="24"/>
          <w:szCs w:val="24"/>
        </w:rPr>
        <w:t>本</w:t>
      </w:r>
      <w:r>
        <w:rPr>
          <w:rFonts w:hint="eastAsia" w:ascii="仿宋" w:hAnsi="仿宋" w:eastAsia="仿宋" w:cs="仿宋"/>
          <w:kern w:val="0"/>
          <w:sz w:val="24"/>
          <w:szCs w:val="24"/>
        </w:rPr>
        <w:t>合</w:t>
      </w:r>
      <w:r>
        <w:rPr>
          <w:rFonts w:hint="eastAsia" w:ascii="仿宋" w:hAnsi="仿宋" w:eastAsia="仿宋" w:cs="仿宋"/>
          <w:spacing w:val="-2"/>
          <w:kern w:val="0"/>
          <w:sz w:val="24"/>
          <w:szCs w:val="24"/>
        </w:rPr>
        <w:t>同</w:t>
      </w:r>
      <w:r>
        <w:rPr>
          <w:rFonts w:hint="eastAsia" w:ascii="仿宋" w:hAnsi="仿宋" w:eastAsia="仿宋" w:cs="仿宋"/>
          <w:kern w:val="0"/>
          <w:sz w:val="24"/>
          <w:szCs w:val="24"/>
        </w:rPr>
        <w:t>协</w:t>
      </w:r>
      <w:r>
        <w:rPr>
          <w:rFonts w:hint="eastAsia" w:ascii="仿宋" w:hAnsi="仿宋" w:eastAsia="仿宋" w:cs="仿宋"/>
          <w:spacing w:val="-2"/>
          <w:kern w:val="0"/>
          <w:sz w:val="24"/>
          <w:szCs w:val="24"/>
        </w:rPr>
        <w:t>议</w:t>
      </w:r>
      <w:r>
        <w:rPr>
          <w:rFonts w:hint="eastAsia" w:ascii="仿宋" w:hAnsi="仿宋" w:eastAsia="仿宋" w:cs="仿宋"/>
          <w:kern w:val="0"/>
          <w:sz w:val="24"/>
          <w:szCs w:val="24"/>
        </w:rPr>
        <w:t>书</w:t>
      </w:r>
      <w:r>
        <w:rPr>
          <w:rFonts w:hint="eastAsia" w:ascii="仿宋" w:hAnsi="仿宋" w:eastAsia="仿宋" w:cs="仿宋"/>
          <w:spacing w:val="-2"/>
          <w:kern w:val="0"/>
          <w:sz w:val="24"/>
          <w:szCs w:val="24"/>
        </w:rPr>
        <w:t>一</w:t>
      </w:r>
      <w:r>
        <w:rPr>
          <w:rFonts w:hint="eastAsia" w:ascii="仿宋" w:hAnsi="仿宋" w:eastAsia="仿宋" w:cs="仿宋"/>
          <w:kern w:val="0"/>
          <w:sz w:val="24"/>
          <w:szCs w:val="24"/>
        </w:rPr>
        <w:t>式</w:t>
      </w:r>
      <w:r>
        <w:rPr>
          <w:rFonts w:hint="eastAsia" w:ascii="仿宋" w:hAnsi="仿宋" w:eastAsia="仿宋" w:cs="仿宋"/>
          <w:kern w:val="0"/>
          <w:sz w:val="24"/>
          <w:szCs w:val="24"/>
          <w:u w:val="single"/>
        </w:rPr>
        <w:tab/>
      </w:r>
      <w:r>
        <w:rPr>
          <w:rFonts w:hint="eastAsia" w:ascii="仿宋" w:hAnsi="仿宋" w:eastAsia="仿宋" w:cs="仿宋"/>
          <w:spacing w:val="-2"/>
          <w:kern w:val="0"/>
          <w:sz w:val="24"/>
          <w:szCs w:val="24"/>
        </w:rPr>
        <w:t>份</w:t>
      </w:r>
      <w:r>
        <w:rPr>
          <w:rFonts w:hint="eastAsia" w:ascii="仿宋" w:hAnsi="仿宋" w:eastAsia="仿宋" w:cs="仿宋"/>
          <w:kern w:val="0"/>
          <w:sz w:val="24"/>
          <w:szCs w:val="24"/>
        </w:rPr>
        <w:t>，</w:t>
      </w:r>
      <w:r>
        <w:rPr>
          <w:rFonts w:hint="eastAsia" w:ascii="仿宋" w:hAnsi="仿宋" w:eastAsia="仿宋" w:cs="仿宋"/>
          <w:spacing w:val="-2"/>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2"/>
          <w:kern w:val="0"/>
          <w:sz w:val="24"/>
          <w:szCs w:val="24"/>
        </w:rPr>
        <w:t>双</w:t>
      </w:r>
      <w:r>
        <w:rPr>
          <w:rFonts w:hint="eastAsia" w:ascii="仿宋" w:hAnsi="仿宋" w:eastAsia="仿宋" w:cs="仿宋"/>
          <w:kern w:val="0"/>
          <w:sz w:val="24"/>
          <w:szCs w:val="24"/>
        </w:rPr>
        <w:t>方</w:t>
      </w:r>
      <w:r>
        <w:rPr>
          <w:rFonts w:hint="eastAsia" w:ascii="仿宋" w:hAnsi="仿宋" w:eastAsia="仿宋" w:cs="仿宋"/>
          <w:spacing w:val="-2"/>
          <w:kern w:val="0"/>
          <w:sz w:val="24"/>
          <w:szCs w:val="24"/>
        </w:rPr>
        <w:t>各</w:t>
      </w:r>
      <w:r>
        <w:rPr>
          <w:rFonts w:hint="eastAsia" w:ascii="仿宋" w:hAnsi="仿宋" w:eastAsia="仿宋" w:cs="仿宋"/>
          <w:kern w:val="0"/>
          <w:sz w:val="24"/>
          <w:szCs w:val="24"/>
        </w:rPr>
        <w:t>执</w:t>
      </w:r>
      <w:r>
        <w:rPr>
          <w:rFonts w:hint="eastAsia" w:ascii="仿宋" w:hAnsi="仿宋" w:eastAsia="仿宋" w:cs="仿宋"/>
          <w:kern w:val="0"/>
          <w:sz w:val="24"/>
          <w:szCs w:val="24"/>
          <w:u w:val="single"/>
        </w:rPr>
        <w:tab/>
      </w:r>
      <w:r>
        <w:rPr>
          <w:rFonts w:hint="eastAsia" w:ascii="仿宋" w:hAnsi="仿宋" w:eastAsia="仿宋" w:cs="仿宋"/>
          <w:spacing w:val="-2"/>
          <w:kern w:val="0"/>
          <w:sz w:val="24"/>
          <w:szCs w:val="24"/>
        </w:rPr>
        <w:t>份。</w:t>
      </w:r>
    </w:p>
    <w:p w14:paraId="23EECC5C">
      <w:pPr>
        <w:spacing w:line="440" w:lineRule="exact"/>
        <w:ind w:firstLine="410" w:firstLineChars="171"/>
        <w:rPr>
          <w:rFonts w:hint="eastAsia" w:ascii="仿宋" w:hAnsi="仿宋" w:eastAsia="仿宋" w:cs="仿宋"/>
          <w:kern w:val="0"/>
          <w:sz w:val="24"/>
          <w:szCs w:val="24"/>
        </w:rPr>
      </w:pPr>
      <w:r>
        <w:rPr>
          <w:rFonts w:hint="eastAsia" w:ascii="仿宋" w:hAnsi="仿宋" w:eastAsia="仿宋" w:cs="仿宋"/>
          <w:kern w:val="0"/>
          <w:sz w:val="24"/>
          <w:szCs w:val="24"/>
        </w:rPr>
        <w:t>7.</w:t>
      </w:r>
      <w:r>
        <w:rPr>
          <w:rFonts w:hint="eastAsia" w:ascii="仿宋" w:hAnsi="仿宋" w:eastAsia="仿宋" w:cs="仿宋"/>
          <w:spacing w:val="-2"/>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2"/>
          <w:kern w:val="0"/>
          <w:sz w:val="24"/>
          <w:szCs w:val="24"/>
        </w:rPr>
        <w:t>未</w:t>
      </w:r>
      <w:r>
        <w:rPr>
          <w:rFonts w:hint="eastAsia" w:ascii="仿宋" w:hAnsi="仿宋" w:eastAsia="仿宋" w:cs="仿宋"/>
          <w:kern w:val="0"/>
          <w:sz w:val="24"/>
          <w:szCs w:val="24"/>
        </w:rPr>
        <w:t>尽</w:t>
      </w:r>
      <w:r>
        <w:rPr>
          <w:rFonts w:hint="eastAsia" w:ascii="仿宋" w:hAnsi="仿宋" w:eastAsia="仿宋" w:cs="仿宋"/>
          <w:spacing w:val="-2"/>
          <w:kern w:val="0"/>
          <w:sz w:val="24"/>
          <w:szCs w:val="24"/>
        </w:rPr>
        <w:t>事</w:t>
      </w:r>
      <w:r>
        <w:rPr>
          <w:rFonts w:hint="eastAsia" w:ascii="仿宋" w:hAnsi="仿宋" w:eastAsia="仿宋" w:cs="仿宋"/>
          <w:kern w:val="0"/>
          <w:sz w:val="24"/>
          <w:szCs w:val="24"/>
        </w:rPr>
        <w:t>宜</w:t>
      </w:r>
      <w:r>
        <w:rPr>
          <w:rFonts w:hint="eastAsia" w:ascii="仿宋" w:hAnsi="仿宋" w:eastAsia="仿宋" w:cs="仿宋"/>
          <w:spacing w:val="-2"/>
          <w:kern w:val="0"/>
          <w:sz w:val="24"/>
          <w:szCs w:val="24"/>
        </w:rPr>
        <w:t>，</w:t>
      </w:r>
      <w:r>
        <w:rPr>
          <w:rFonts w:hint="eastAsia" w:ascii="仿宋" w:hAnsi="仿宋" w:eastAsia="仿宋" w:cs="仿宋"/>
          <w:kern w:val="0"/>
          <w:sz w:val="24"/>
          <w:szCs w:val="24"/>
        </w:rPr>
        <w:t>双</w:t>
      </w:r>
      <w:r>
        <w:rPr>
          <w:rFonts w:hint="eastAsia" w:ascii="仿宋" w:hAnsi="仿宋" w:eastAsia="仿宋" w:cs="仿宋"/>
          <w:spacing w:val="-2"/>
          <w:kern w:val="0"/>
          <w:sz w:val="24"/>
          <w:szCs w:val="24"/>
        </w:rPr>
        <w:t>方另</w:t>
      </w:r>
      <w:r>
        <w:rPr>
          <w:rFonts w:hint="eastAsia" w:ascii="仿宋" w:hAnsi="仿宋" w:eastAsia="仿宋" w:cs="仿宋"/>
          <w:kern w:val="0"/>
          <w:sz w:val="24"/>
          <w:szCs w:val="24"/>
        </w:rPr>
        <w:t>行签</w:t>
      </w:r>
      <w:r>
        <w:rPr>
          <w:rFonts w:hint="eastAsia" w:ascii="仿宋" w:hAnsi="仿宋" w:eastAsia="仿宋" w:cs="仿宋"/>
          <w:spacing w:val="-2"/>
          <w:kern w:val="0"/>
          <w:sz w:val="24"/>
          <w:szCs w:val="24"/>
        </w:rPr>
        <w:t>订</w:t>
      </w:r>
      <w:r>
        <w:rPr>
          <w:rFonts w:hint="eastAsia" w:ascii="仿宋" w:hAnsi="仿宋" w:eastAsia="仿宋" w:cs="仿宋"/>
          <w:kern w:val="0"/>
          <w:sz w:val="24"/>
          <w:szCs w:val="24"/>
        </w:rPr>
        <w:t>补</w:t>
      </w:r>
      <w:r>
        <w:rPr>
          <w:rFonts w:hint="eastAsia" w:ascii="仿宋" w:hAnsi="仿宋" w:eastAsia="仿宋" w:cs="仿宋"/>
          <w:spacing w:val="-2"/>
          <w:kern w:val="0"/>
          <w:sz w:val="24"/>
          <w:szCs w:val="24"/>
        </w:rPr>
        <w:t>充</w:t>
      </w:r>
      <w:r>
        <w:rPr>
          <w:rFonts w:hint="eastAsia" w:ascii="仿宋" w:hAnsi="仿宋" w:eastAsia="仿宋" w:cs="仿宋"/>
          <w:kern w:val="0"/>
          <w:sz w:val="24"/>
          <w:szCs w:val="24"/>
        </w:rPr>
        <w:t>协</w:t>
      </w:r>
      <w:r>
        <w:rPr>
          <w:rFonts w:hint="eastAsia" w:ascii="仿宋" w:hAnsi="仿宋" w:eastAsia="仿宋" w:cs="仿宋"/>
          <w:spacing w:val="-2"/>
          <w:kern w:val="0"/>
          <w:sz w:val="24"/>
          <w:szCs w:val="24"/>
        </w:rPr>
        <w:t>议</w:t>
      </w:r>
      <w:r>
        <w:rPr>
          <w:rFonts w:hint="eastAsia" w:ascii="仿宋" w:hAnsi="仿宋" w:eastAsia="仿宋" w:cs="仿宋"/>
          <w:kern w:val="0"/>
          <w:sz w:val="24"/>
          <w:szCs w:val="24"/>
        </w:rPr>
        <w:t>，</w:t>
      </w:r>
      <w:r>
        <w:rPr>
          <w:rFonts w:hint="eastAsia" w:ascii="仿宋" w:hAnsi="仿宋" w:eastAsia="仿宋" w:cs="仿宋"/>
          <w:spacing w:val="-2"/>
          <w:kern w:val="0"/>
          <w:sz w:val="24"/>
          <w:szCs w:val="24"/>
        </w:rPr>
        <w:t>补</w:t>
      </w:r>
      <w:r>
        <w:rPr>
          <w:rFonts w:hint="eastAsia" w:ascii="仿宋" w:hAnsi="仿宋" w:eastAsia="仿宋" w:cs="仿宋"/>
          <w:kern w:val="0"/>
          <w:sz w:val="24"/>
          <w:szCs w:val="24"/>
        </w:rPr>
        <w:t>充</w:t>
      </w:r>
      <w:r>
        <w:rPr>
          <w:rFonts w:hint="eastAsia" w:ascii="仿宋" w:hAnsi="仿宋" w:eastAsia="仿宋" w:cs="仿宋"/>
          <w:spacing w:val="-2"/>
          <w:kern w:val="0"/>
          <w:sz w:val="24"/>
          <w:szCs w:val="24"/>
        </w:rPr>
        <w:t>协</w:t>
      </w:r>
      <w:r>
        <w:rPr>
          <w:rFonts w:hint="eastAsia" w:ascii="仿宋" w:hAnsi="仿宋" w:eastAsia="仿宋" w:cs="仿宋"/>
          <w:kern w:val="0"/>
          <w:sz w:val="24"/>
          <w:szCs w:val="24"/>
        </w:rPr>
        <w:t>议是</w:t>
      </w:r>
      <w:r>
        <w:rPr>
          <w:rFonts w:hint="eastAsia" w:ascii="仿宋" w:hAnsi="仿宋" w:eastAsia="仿宋" w:cs="仿宋"/>
          <w:spacing w:val="-2"/>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2"/>
          <w:kern w:val="0"/>
          <w:sz w:val="24"/>
          <w:szCs w:val="24"/>
        </w:rPr>
        <w:t>的</w:t>
      </w:r>
      <w:r>
        <w:rPr>
          <w:rFonts w:hint="eastAsia" w:ascii="仿宋" w:hAnsi="仿宋" w:eastAsia="仿宋" w:cs="仿宋"/>
          <w:kern w:val="0"/>
          <w:sz w:val="24"/>
          <w:szCs w:val="24"/>
        </w:rPr>
        <w:t>组</w:t>
      </w:r>
      <w:r>
        <w:rPr>
          <w:rFonts w:hint="eastAsia" w:ascii="仿宋" w:hAnsi="仿宋" w:eastAsia="仿宋" w:cs="仿宋"/>
          <w:spacing w:val="-2"/>
          <w:kern w:val="0"/>
          <w:sz w:val="24"/>
          <w:szCs w:val="24"/>
        </w:rPr>
        <w:t>成</w:t>
      </w:r>
      <w:r>
        <w:rPr>
          <w:rFonts w:hint="eastAsia" w:ascii="仿宋" w:hAnsi="仿宋" w:eastAsia="仿宋" w:cs="仿宋"/>
          <w:kern w:val="0"/>
          <w:sz w:val="24"/>
          <w:szCs w:val="24"/>
        </w:rPr>
        <w:t>部</w:t>
      </w:r>
      <w:r>
        <w:rPr>
          <w:rFonts w:hint="eastAsia" w:ascii="仿宋" w:hAnsi="仿宋" w:eastAsia="仿宋" w:cs="仿宋"/>
          <w:spacing w:val="-2"/>
          <w:kern w:val="0"/>
          <w:sz w:val="24"/>
          <w:szCs w:val="24"/>
        </w:rPr>
        <w:t>分</w:t>
      </w:r>
      <w:r>
        <w:rPr>
          <w:rFonts w:hint="eastAsia" w:ascii="仿宋" w:hAnsi="仿宋" w:eastAsia="仿宋" w:cs="仿宋"/>
          <w:kern w:val="0"/>
          <w:sz w:val="24"/>
          <w:szCs w:val="24"/>
        </w:rPr>
        <w:t>。</w:t>
      </w:r>
    </w:p>
    <w:p w14:paraId="4F8C8D0A">
      <w:pPr>
        <w:spacing w:line="440" w:lineRule="exact"/>
        <w:ind w:firstLine="410" w:firstLineChars="171"/>
        <w:rPr>
          <w:rFonts w:hint="eastAsia" w:ascii="仿宋" w:hAnsi="仿宋" w:eastAsia="仿宋" w:cs="仿宋"/>
          <w:kern w:val="0"/>
          <w:sz w:val="24"/>
          <w:szCs w:val="24"/>
        </w:rPr>
      </w:pPr>
    </w:p>
    <w:p w14:paraId="5F2A4D52">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1440" w:firstLineChars="60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rPr>
        <w:t>（盖单位章）</w:t>
      </w:r>
      <w:r>
        <w:rPr>
          <w:rFonts w:hint="eastAsia" w:ascii="仿宋" w:hAnsi="仿宋" w:eastAsia="仿宋" w:cs="仿宋"/>
          <w:sz w:val="24"/>
          <w:szCs w:val="24"/>
        </w:rPr>
        <w:tab/>
      </w:r>
    </w:p>
    <w:p w14:paraId="2F01D82B">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1440" w:firstLineChars="600"/>
        <w:textAlignment w:val="auto"/>
        <w:rPr>
          <w:rFonts w:hint="eastAsia" w:ascii="仿宋" w:hAnsi="仿宋" w:eastAsia="仿宋" w:cs="仿宋"/>
          <w:sz w:val="24"/>
          <w:szCs w:val="24"/>
        </w:rPr>
      </w:pPr>
      <w:r>
        <w:rPr>
          <w:rFonts w:hint="eastAsia" w:ascii="仿宋" w:hAnsi="仿宋" w:eastAsia="仿宋" w:cs="仿宋"/>
          <w:sz w:val="24"/>
          <w:szCs w:val="24"/>
        </w:rPr>
        <w:t>法定代表人（单位负责人）或其委托代理人：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rPr>
        <w:t>（签字）</w:t>
      </w:r>
    </w:p>
    <w:p w14:paraId="0F3D0CDB">
      <w:pPr>
        <w:keepNext w:val="0"/>
        <w:keepLines w:val="0"/>
        <w:pageBreakBefore w:val="0"/>
        <w:widowControl w:val="0"/>
        <w:kinsoku/>
        <w:wordWrap/>
        <w:overflowPunct/>
        <w:topLinePunct w:val="0"/>
        <w:autoSpaceDE/>
        <w:autoSpaceDN/>
        <w:bidi w:val="0"/>
        <w:adjustRightInd/>
        <w:snapToGrid/>
        <w:spacing w:line="360" w:lineRule="auto"/>
        <w:ind w:firstLine="4867" w:firstLineChars="2028"/>
        <w:textAlignment w:val="auto"/>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0AF219C">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1440" w:firstLineChars="60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rPr>
        <w:t>（盖单位章）</w:t>
      </w:r>
    </w:p>
    <w:p w14:paraId="629CFBE2">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1440" w:firstLineChars="600"/>
        <w:textAlignment w:val="auto"/>
        <w:rPr>
          <w:rFonts w:hint="eastAsia" w:ascii="仿宋" w:hAnsi="仿宋" w:eastAsia="仿宋" w:cs="仿宋"/>
          <w:sz w:val="24"/>
          <w:szCs w:val="24"/>
        </w:rPr>
      </w:pPr>
      <w:r>
        <w:rPr>
          <w:rFonts w:hint="eastAsia" w:ascii="仿宋" w:hAnsi="仿宋" w:eastAsia="仿宋" w:cs="仿宋"/>
          <w:sz w:val="24"/>
          <w:szCs w:val="24"/>
        </w:rPr>
        <w:t>法定代表人（单位负责人）或其委托代理人：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rPr>
        <w:t>（签字）</w:t>
      </w:r>
    </w:p>
    <w:p w14:paraId="0F52E74C">
      <w:pPr>
        <w:keepNext w:val="0"/>
        <w:keepLines w:val="0"/>
        <w:pageBreakBefore w:val="0"/>
        <w:widowControl w:val="0"/>
        <w:kinsoku/>
        <w:wordWrap/>
        <w:overflowPunct/>
        <w:topLinePunct w:val="0"/>
        <w:autoSpaceDE/>
        <w:autoSpaceDN/>
        <w:bidi w:val="0"/>
        <w:adjustRightInd/>
        <w:snapToGrid/>
        <w:spacing w:line="360" w:lineRule="auto"/>
        <w:ind w:firstLine="4867" w:firstLineChars="2028"/>
        <w:textAlignment w:val="auto"/>
        <w:rPr>
          <w:rFonts w:hint="eastAsia" w:ascii="仿宋" w:hAnsi="仿宋" w:eastAsia="仿宋" w:cs="仿宋"/>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67E38679">
      <w:pPr>
        <w:tabs>
          <w:tab w:val="left" w:pos="5370"/>
          <w:tab w:val="left" w:pos="6330"/>
          <w:tab w:val="left" w:pos="7275"/>
        </w:tabs>
        <w:autoSpaceDE w:val="0"/>
        <w:autoSpaceDN w:val="0"/>
        <w:adjustRightInd w:val="0"/>
        <w:spacing w:line="440" w:lineRule="exact"/>
        <w:ind w:left="4341" w:firstLine="281" w:firstLineChars="100"/>
        <w:contextualSpacing/>
        <w:jc w:val="left"/>
        <w:rPr>
          <w:rFonts w:hint="eastAsia" w:ascii="仿宋" w:hAnsi="仿宋" w:eastAsia="仿宋" w:cs="仿宋"/>
          <w:b/>
          <w:bCs/>
          <w:color w:val="000000"/>
          <w:kern w:val="0"/>
          <w:position w:val="-3"/>
          <w:sz w:val="28"/>
          <w:szCs w:val="28"/>
          <w:highlight w:val="none"/>
        </w:rPr>
      </w:pPr>
    </w:p>
    <w:p w14:paraId="4A6FE5C1">
      <w:pPr>
        <w:pStyle w:val="4"/>
        <w:bidi w:val="0"/>
        <w:rPr>
          <w:rFonts w:hint="eastAsia" w:ascii="仿宋" w:hAnsi="仿宋" w:eastAsia="仿宋" w:cs="仿宋"/>
        </w:rPr>
      </w:pPr>
      <w:bookmarkStart w:id="403" w:name="_Toc497923303"/>
      <w:bookmarkStart w:id="404" w:name="_Toc526265702"/>
      <w:bookmarkStart w:id="405" w:name="_Toc29797"/>
      <w:bookmarkStart w:id="406" w:name="_Toc500009176"/>
      <w:bookmarkStart w:id="407" w:name="_Toc500235608"/>
      <w:bookmarkStart w:id="408" w:name="_Toc27242"/>
      <w:bookmarkStart w:id="409" w:name="_Toc32547"/>
      <w:r>
        <w:rPr>
          <w:rFonts w:hint="eastAsia" w:ascii="仿宋" w:hAnsi="仿宋" w:eastAsia="仿宋" w:cs="仿宋"/>
        </w:rPr>
        <w:t>附件二：履约保证金格式</w:t>
      </w:r>
      <w:bookmarkEnd w:id="403"/>
      <w:bookmarkEnd w:id="404"/>
      <w:bookmarkEnd w:id="405"/>
      <w:bookmarkEnd w:id="406"/>
      <w:bookmarkEnd w:id="407"/>
      <w:bookmarkEnd w:id="408"/>
      <w:bookmarkEnd w:id="409"/>
    </w:p>
    <w:p w14:paraId="43BCFE26">
      <w:pPr>
        <w:autoSpaceDE w:val="0"/>
        <w:autoSpaceDN w:val="0"/>
        <w:adjustRightInd w:val="0"/>
        <w:spacing w:line="360" w:lineRule="auto"/>
        <w:contextualSpacing/>
        <w:jc w:val="center"/>
        <w:rPr>
          <w:rFonts w:hint="eastAsia" w:ascii="仿宋" w:hAnsi="仿宋" w:eastAsia="仿宋" w:cs="仿宋"/>
          <w:color w:val="000000"/>
          <w:kern w:val="0"/>
          <w:position w:val="-5"/>
          <w:sz w:val="28"/>
          <w:szCs w:val="28"/>
          <w:highlight w:val="none"/>
        </w:rPr>
      </w:pPr>
      <w:r>
        <w:rPr>
          <w:rFonts w:hint="eastAsia" w:ascii="仿宋" w:hAnsi="仿宋" w:eastAsia="仿宋" w:cs="仿宋"/>
          <w:color w:val="000000"/>
          <w:kern w:val="0"/>
          <w:position w:val="-5"/>
          <w:sz w:val="28"/>
          <w:szCs w:val="28"/>
          <w:highlight w:val="none"/>
        </w:rPr>
        <w:t>履约保函</w:t>
      </w:r>
    </w:p>
    <w:p w14:paraId="3140B79A">
      <w:pPr>
        <w:spacing w:line="360" w:lineRule="auto"/>
        <w:ind w:right="2974" w:rightChars="1416"/>
        <w:jc w:val="righ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编号：             </w:t>
      </w:r>
    </w:p>
    <w:p w14:paraId="39DB7340">
      <w:pPr>
        <w:snapToGrid w:val="0"/>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致受益人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17C48E3A">
      <w:pPr>
        <w:snapToGrid w:val="0"/>
        <w:spacing w:line="360" w:lineRule="auto"/>
        <w:ind w:firstLine="480" w:firstLineChars="200"/>
        <w:jc w:val="left"/>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（下称“被保证人”，地址：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）与你方签订了</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项目合同（项目编号：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），我方愿就被保证人履行上述合同的义务向你方提供如下保证：</w:t>
      </w:r>
    </w:p>
    <w:p w14:paraId="68D08424">
      <w:pPr>
        <w:numPr>
          <w:ilvl w:val="0"/>
          <w:numId w:val="3"/>
        </w:numPr>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本保函项下我方承担的保证责任最高限额（下称“担保金额”）为(币种金额、大写)</w:t>
      </w:r>
      <w:r>
        <w:rPr>
          <w:rFonts w:hint="eastAsia" w:ascii="仿宋" w:hAnsi="仿宋" w:eastAsia="仿宋" w:cs="仿宋"/>
          <w:color w:val="000000"/>
          <w:sz w:val="24"/>
          <w:szCs w:val="24"/>
          <w:highlight w:val="none"/>
          <w:u w:val="single"/>
        </w:rPr>
        <w:t xml:space="preserve">人民币                      </w:t>
      </w:r>
      <w:r>
        <w:rPr>
          <w:rFonts w:hint="eastAsia" w:ascii="仿宋" w:hAnsi="仿宋" w:eastAsia="仿宋" w:cs="仿宋"/>
          <w:color w:val="000000"/>
          <w:sz w:val="24"/>
          <w:szCs w:val="24"/>
          <w:highlight w:val="none"/>
        </w:rPr>
        <w:t>。</w:t>
      </w:r>
    </w:p>
    <w:p w14:paraId="69FDF8C7">
      <w:pPr>
        <w:snapToGrid w:val="0"/>
        <w:spacing w:line="360" w:lineRule="auto"/>
        <w:ind w:firstLine="480" w:firstLineChars="200"/>
        <w:jc w:val="left"/>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二、我方在本保函项下提供的保证为</w:t>
      </w:r>
      <w:r>
        <w:rPr>
          <w:rFonts w:hint="eastAsia" w:ascii="仿宋" w:hAnsi="仿宋" w:eastAsia="仿宋" w:cs="仿宋"/>
          <w:snapToGrid w:val="0"/>
          <w:color w:val="000000"/>
          <w:kern w:val="0"/>
          <w:sz w:val="24"/>
          <w:szCs w:val="24"/>
          <w:highlight w:val="none"/>
          <w:u w:val="single"/>
        </w:rPr>
        <w:t xml:space="preserve">  连带  </w:t>
      </w:r>
      <w:r>
        <w:rPr>
          <w:rFonts w:hint="eastAsia" w:ascii="仿宋" w:hAnsi="仿宋" w:eastAsia="仿宋" w:cs="仿宋"/>
          <w:snapToGrid w:val="0"/>
          <w:color w:val="000000"/>
          <w:kern w:val="0"/>
          <w:sz w:val="24"/>
          <w:szCs w:val="24"/>
          <w:highlight w:val="none"/>
        </w:rPr>
        <w:t>责任保证。</w:t>
      </w:r>
    </w:p>
    <w:p w14:paraId="420F4852">
      <w:pPr>
        <w:snapToGrid w:val="0"/>
        <w:spacing w:line="360" w:lineRule="auto"/>
        <w:ind w:firstLine="480" w:firstLineChars="200"/>
        <w:jc w:val="left"/>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三、本保函的有效期为以下第</w:t>
      </w:r>
      <w:r>
        <w:rPr>
          <w:rFonts w:hint="eastAsia" w:ascii="仿宋" w:hAnsi="仿宋" w:eastAsia="仿宋" w:cs="仿宋"/>
          <w:snapToGrid w:val="0"/>
          <w:color w:val="000000"/>
          <w:kern w:val="0"/>
          <w:sz w:val="24"/>
          <w:szCs w:val="24"/>
          <w:highlight w:val="none"/>
          <w:u w:val="single"/>
        </w:rPr>
        <w:t xml:space="preserve">    </w:t>
      </w:r>
      <w:r>
        <w:rPr>
          <w:rFonts w:hint="eastAsia" w:ascii="仿宋" w:hAnsi="仿宋" w:eastAsia="仿宋" w:cs="仿宋"/>
          <w:snapToGrid w:val="0"/>
          <w:color w:val="000000"/>
          <w:kern w:val="0"/>
          <w:sz w:val="24"/>
          <w:szCs w:val="24"/>
          <w:highlight w:val="none"/>
        </w:rPr>
        <w:t>种：</w:t>
      </w:r>
    </w:p>
    <w:p w14:paraId="2F64FF9C">
      <w:pPr>
        <w:snapToGrid w:val="0"/>
        <w:spacing w:line="360" w:lineRule="auto"/>
        <w:ind w:firstLine="480" w:firstLineChars="200"/>
        <w:jc w:val="left"/>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1.本保函有效期自生效之日起至</w:t>
      </w:r>
      <w:r>
        <w:rPr>
          <w:rFonts w:hint="eastAsia" w:ascii="仿宋" w:hAnsi="仿宋" w:eastAsia="仿宋" w:cs="仿宋"/>
          <w:snapToGrid w:val="0"/>
          <w:color w:val="000000"/>
          <w:kern w:val="0"/>
          <w:sz w:val="24"/>
          <w:szCs w:val="24"/>
          <w:highlight w:val="none"/>
          <w:u w:val="single"/>
        </w:rPr>
        <w:t xml:space="preserve">       </w:t>
      </w:r>
      <w:r>
        <w:rPr>
          <w:rFonts w:hint="eastAsia" w:ascii="仿宋" w:hAnsi="仿宋" w:eastAsia="仿宋" w:cs="仿宋"/>
          <w:snapToGrid w:val="0"/>
          <w:color w:val="000000"/>
          <w:kern w:val="0"/>
          <w:sz w:val="24"/>
          <w:szCs w:val="24"/>
          <w:highlight w:val="none"/>
        </w:rPr>
        <w:t>年</w:t>
      </w:r>
      <w:r>
        <w:rPr>
          <w:rFonts w:hint="eastAsia" w:ascii="仿宋" w:hAnsi="仿宋" w:eastAsia="仿宋" w:cs="仿宋"/>
          <w:snapToGrid w:val="0"/>
          <w:color w:val="000000"/>
          <w:kern w:val="0"/>
          <w:sz w:val="24"/>
          <w:szCs w:val="24"/>
          <w:highlight w:val="none"/>
          <w:u w:val="single"/>
        </w:rPr>
        <w:t xml:space="preserve">      </w:t>
      </w:r>
      <w:r>
        <w:rPr>
          <w:rFonts w:hint="eastAsia" w:ascii="仿宋" w:hAnsi="仿宋" w:eastAsia="仿宋" w:cs="仿宋"/>
          <w:snapToGrid w:val="0"/>
          <w:color w:val="000000"/>
          <w:kern w:val="0"/>
          <w:sz w:val="24"/>
          <w:szCs w:val="24"/>
          <w:highlight w:val="none"/>
        </w:rPr>
        <w:t>月</w:t>
      </w:r>
      <w:r>
        <w:rPr>
          <w:rFonts w:hint="eastAsia" w:ascii="仿宋" w:hAnsi="仿宋" w:eastAsia="仿宋" w:cs="仿宋"/>
          <w:snapToGrid w:val="0"/>
          <w:color w:val="000000"/>
          <w:kern w:val="0"/>
          <w:sz w:val="24"/>
          <w:szCs w:val="24"/>
          <w:highlight w:val="none"/>
          <w:u w:val="single"/>
        </w:rPr>
        <w:t xml:space="preserve">      </w:t>
      </w:r>
      <w:r>
        <w:rPr>
          <w:rFonts w:hint="eastAsia" w:ascii="仿宋" w:hAnsi="仿宋" w:eastAsia="仿宋" w:cs="仿宋"/>
          <w:snapToGrid w:val="0"/>
          <w:color w:val="000000"/>
          <w:kern w:val="0"/>
          <w:sz w:val="24"/>
          <w:szCs w:val="24"/>
          <w:highlight w:val="none"/>
        </w:rPr>
        <w:t>日止。</w:t>
      </w:r>
    </w:p>
    <w:p w14:paraId="238635E4">
      <w:pPr>
        <w:adjustRightInd w:val="0"/>
        <w:snapToGrid w:val="0"/>
        <w:spacing w:line="360" w:lineRule="auto"/>
        <w:ind w:firstLine="480" w:firstLineChars="200"/>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2.</w:t>
      </w:r>
      <w:r>
        <w:rPr>
          <w:rFonts w:hint="eastAsia" w:ascii="仿宋" w:hAnsi="仿宋" w:eastAsia="仿宋" w:cs="仿宋"/>
          <w:snapToGrid w:val="0"/>
          <w:color w:val="000000"/>
          <w:kern w:val="0"/>
          <w:sz w:val="24"/>
          <w:szCs w:val="24"/>
          <w:highlight w:val="none"/>
          <w:u w:val="single"/>
        </w:rPr>
        <w:t xml:space="preserve">                                /                    </w:t>
      </w:r>
      <w:r>
        <w:rPr>
          <w:rFonts w:hint="eastAsia" w:ascii="仿宋" w:hAnsi="仿宋" w:eastAsia="仿宋" w:cs="仿宋"/>
          <w:snapToGrid w:val="0"/>
          <w:color w:val="000000"/>
          <w:kern w:val="0"/>
          <w:sz w:val="24"/>
          <w:szCs w:val="24"/>
          <w:highlight w:val="none"/>
        </w:rPr>
        <w:t>。</w:t>
      </w:r>
    </w:p>
    <w:p w14:paraId="4E7A16E2">
      <w:pPr>
        <w:snapToGrid w:val="0"/>
        <w:spacing w:line="360" w:lineRule="auto"/>
        <w:ind w:firstLine="480" w:firstLineChars="200"/>
        <w:jc w:val="left"/>
        <w:rPr>
          <w:rFonts w:hint="eastAsia" w:ascii="仿宋" w:hAnsi="仿宋" w:eastAsia="仿宋" w:cs="仿宋"/>
          <w:snapToGrid w:val="0"/>
          <w:color w:val="000000"/>
          <w:kern w:val="0"/>
          <w:sz w:val="24"/>
          <w:szCs w:val="24"/>
          <w:highlight w:val="none"/>
        </w:rPr>
      </w:pPr>
      <w:r>
        <w:rPr>
          <w:rFonts w:hint="eastAsia" w:ascii="仿宋" w:hAnsi="仿宋" w:eastAsia="仿宋" w:cs="仿宋"/>
          <w:color w:val="000000"/>
          <w:sz w:val="24"/>
          <w:szCs w:val="24"/>
          <w:highlight w:val="none"/>
        </w:rPr>
        <w:t>四、在本保函的有效期内，如被保证人</w:t>
      </w:r>
      <w:r>
        <w:rPr>
          <w:rFonts w:hint="eastAsia" w:ascii="仿宋" w:hAnsi="仿宋" w:eastAsia="仿宋" w:cs="仿宋"/>
          <w:snapToGrid w:val="0"/>
          <w:color w:val="000000"/>
          <w:kern w:val="0"/>
          <w:sz w:val="24"/>
          <w:szCs w:val="24"/>
          <w:highlight w:val="none"/>
        </w:rPr>
        <w:t>违反上述合同的约定给你方造成经济损失的，我方将在收到你方提交的本保函原件及符合下列全部条件的索赔通知后</w:t>
      </w:r>
      <w:r>
        <w:rPr>
          <w:rFonts w:hint="eastAsia" w:ascii="仿宋" w:hAnsi="仿宋" w:eastAsia="仿宋" w:cs="仿宋"/>
          <w:snapToGrid w:val="0"/>
          <w:color w:val="000000"/>
          <w:kern w:val="0"/>
          <w:sz w:val="24"/>
          <w:szCs w:val="24"/>
          <w:highlight w:val="none"/>
          <w:u w:val="single"/>
        </w:rPr>
        <w:t>10</w:t>
      </w:r>
      <w:r>
        <w:rPr>
          <w:rFonts w:hint="eastAsia" w:ascii="仿宋" w:hAnsi="仿宋" w:eastAsia="仿宋" w:cs="仿宋"/>
          <w:snapToGrid w:val="0"/>
          <w:color w:val="000000"/>
          <w:kern w:val="0"/>
          <w:sz w:val="24"/>
          <w:szCs w:val="24"/>
          <w:highlight w:val="none"/>
        </w:rPr>
        <w:t>个工作日内，以上述担保金额为限支付你方索赔金额：</w:t>
      </w:r>
    </w:p>
    <w:p w14:paraId="515E84C2">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snapToGrid w:val="0"/>
          <w:color w:val="000000"/>
          <w:kern w:val="0"/>
          <w:sz w:val="24"/>
          <w:szCs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0ED41CEA">
      <w:pPr>
        <w:adjustRightInd w:val="0"/>
        <w:snapToGrid w:val="0"/>
        <w:spacing w:line="360" w:lineRule="auto"/>
        <w:ind w:firstLine="480" w:firstLineChars="200"/>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（二）索赔通知必须同时附有：</w:t>
      </w:r>
    </w:p>
    <w:p w14:paraId="36E244F5">
      <w:pPr>
        <w:adjustRightInd w:val="0"/>
        <w:snapToGrid w:val="0"/>
        <w:spacing w:line="360" w:lineRule="auto"/>
        <w:ind w:firstLine="480" w:firstLineChars="200"/>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1.一项书面声明，声明索赔款项并未由</w:t>
      </w:r>
      <w:r>
        <w:rPr>
          <w:rFonts w:hint="eastAsia" w:ascii="仿宋" w:hAnsi="仿宋" w:eastAsia="仿宋" w:cs="仿宋"/>
          <w:color w:val="000000"/>
          <w:sz w:val="24"/>
          <w:szCs w:val="24"/>
          <w:highlight w:val="none"/>
        </w:rPr>
        <w:t>被保证人</w:t>
      </w:r>
      <w:r>
        <w:rPr>
          <w:rFonts w:hint="eastAsia" w:ascii="仿宋" w:hAnsi="仿宋" w:eastAsia="仿宋" w:cs="仿宋"/>
          <w:snapToGrid w:val="0"/>
          <w:color w:val="000000"/>
          <w:kern w:val="0"/>
          <w:sz w:val="24"/>
          <w:szCs w:val="24"/>
          <w:highlight w:val="none"/>
        </w:rPr>
        <w:t>或其代理人直接或间接地支付给你方；</w:t>
      </w:r>
    </w:p>
    <w:p w14:paraId="7497C9E6">
      <w:pPr>
        <w:adjustRightInd w:val="0"/>
        <w:snapToGrid w:val="0"/>
        <w:spacing w:line="360" w:lineRule="auto"/>
        <w:ind w:firstLine="480" w:firstLineChars="200"/>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2. 证明</w:t>
      </w:r>
      <w:r>
        <w:rPr>
          <w:rFonts w:hint="eastAsia" w:ascii="仿宋" w:hAnsi="仿宋" w:eastAsia="仿宋" w:cs="仿宋"/>
          <w:color w:val="000000"/>
          <w:sz w:val="24"/>
          <w:szCs w:val="24"/>
          <w:highlight w:val="none"/>
        </w:rPr>
        <w:t>被保证人</w:t>
      </w:r>
      <w:r>
        <w:rPr>
          <w:rFonts w:hint="eastAsia" w:ascii="仿宋" w:hAnsi="仿宋" w:eastAsia="仿宋" w:cs="仿宋"/>
          <w:snapToGrid w:val="0"/>
          <w:color w:val="000000"/>
          <w:kern w:val="0"/>
          <w:sz w:val="24"/>
          <w:szCs w:val="24"/>
          <w:highlight w:val="none"/>
        </w:rPr>
        <w:t>违反上述合同的约定以及有责任支付你方索赔金额的证据，包括但不限于已发生法律效力的法院判决书或仲裁裁决书等。</w:t>
      </w:r>
    </w:p>
    <w:p w14:paraId="6881845F">
      <w:pPr>
        <w:adjustRightInd w:val="0"/>
        <w:snapToGrid w:val="0"/>
        <w:spacing w:line="360" w:lineRule="auto"/>
        <w:ind w:firstLine="480" w:firstLineChars="200"/>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3.索赔资料应在有效期内送达我方，否则我方不承担责任。</w:t>
      </w:r>
    </w:p>
    <w:p w14:paraId="5AF03D2C">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（三）索赔通知必须在本保函有效期内到达以下地址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0DDB7766">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snapToGrid w:val="0"/>
          <w:color w:val="000000"/>
          <w:kern w:val="0"/>
          <w:sz w:val="24"/>
          <w:szCs w:val="24"/>
          <w:highlight w:val="none"/>
        </w:rPr>
        <w:t>五、</w:t>
      </w:r>
      <w:r>
        <w:rPr>
          <w:rFonts w:hint="eastAsia" w:ascii="仿宋" w:hAnsi="仿宋" w:eastAsia="仿宋" w:cs="仿宋"/>
          <w:color w:val="000000"/>
          <w:sz w:val="24"/>
          <w:szCs w:val="24"/>
          <w:highlight w:val="none"/>
        </w:rPr>
        <w:t>本保函担保金额将随被保证人逐步履行保函项下合同约定或法定的义务以及我方</w:t>
      </w:r>
      <w:r>
        <w:rPr>
          <w:rFonts w:hint="eastAsia" w:ascii="仿宋" w:hAnsi="仿宋" w:eastAsia="仿宋" w:cs="仿宋"/>
          <w:snapToGrid w:val="0"/>
          <w:color w:val="000000"/>
          <w:kern w:val="0"/>
          <w:sz w:val="24"/>
          <w:szCs w:val="24"/>
          <w:highlight w:val="none"/>
        </w:rPr>
        <w:t>按你方索赔通知要求分次支付</w:t>
      </w:r>
      <w:r>
        <w:rPr>
          <w:rFonts w:hint="eastAsia" w:ascii="仿宋" w:hAnsi="仿宋" w:eastAsia="仿宋" w:cs="仿宋"/>
          <w:color w:val="000000"/>
          <w:sz w:val="24"/>
          <w:szCs w:val="24"/>
          <w:highlight w:val="none"/>
        </w:rPr>
        <w:t>而相应递减。</w:t>
      </w:r>
    </w:p>
    <w:p w14:paraId="09F023FA">
      <w:pPr>
        <w:pStyle w:val="12"/>
        <w:snapToGrid w:val="0"/>
        <w:spacing w:after="0" w:line="360" w:lineRule="auto"/>
        <w:ind w:left="0" w:leftChars="0" w:firstLine="480" w:firstLineChars="200"/>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rPr>
        <w:t>六、本保函项下的权利不得转让，不得设定担保。</w:t>
      </w:r>
    </w:p>
    <w:p w14:paraId="7568F6AB">
      <w:pPr>
        <w:pStyle w:val="12"/>
        <w:snapToGrid w:val="0"/>
        <w:spacing w:after="0" w:line="360" w:lineRule="auto"/>
        <w:ind w:left="0" w:leftChars="0" w:firstLine="480" w:firstLineChars="200"/>
        <w:rPr>
          <w:rFonts w:hint="eastAsia" w:ascii="仿宋" w:hAnsi="仿宋" w:eastAsia="仿宋" w:cs="仿宋"/>
          <w:iCs/>
          <w:color w:val="000000"/>
          <w:sz w:val="24"/>
          <w:szCs w:val="24"/>
          <w:highlight w:val="none"/>
          <w:u w:val="single"/>
        </w:rPr>
      </w:pPr>
      <w:r>
        <w:rPr>
          <w:rFonts w:hint="eastAsia" w:ascii="仿宋" w:hAnsi="仿宋" w:eastAsia="仿宋" w:cs="仿宋"/>
          <w:iCs/>
          <w:color w:val="000000"/>
          <w:sz w:val="24"/>
          <w:szCs w:val="24"/>
          <w:highlight w:val="none"/>
        </w:rPr>
        <w:t>七、本保函项下的合同或基础交易不成立、不生效、无效、被撤销、被解除，本保函无效；被保证人基于保函项下的合同或基础交易或其他原因的抗辩，我方均有权主张。</w:t>
      </w:r>
    </w:p>
    <w:p w14:paraId="2178C71B">
      <w:pPr>
        <w:pStyle w:val="12"/>
        <w:snapToGrid w:val="0"/>
        <w:spacing w:after="0" w:line="360" w:lineRule="auto"/>
        <w:ind w:left="0" w:leftChars="0" w:firstLine="480" w:firstLineChars="200"/>
        <w:rPr>
          <w:rFonts w:hint="eastAsia" w:ascii="仿宋" w:hAnsi="仿宋" w:eastAsia="仿宋" w:cs="仿宋"/>
          <w:iCs/>
          <w:color w:val="000000"/>
          <w:sz w:val="24"/>
          <w:szCs w:val="24"/>
          <w:highlight w:val="none"/>
        </w:rPr>
      </w:pPr>
      <w:r>
        <w:rPr>
          <w:rFonts w:hint="eastAsia" w:ascii="仿宋" w:hAnsi="仿宋" w:eastAsia="仿宋" w:cs="仿宋"/>
          <w:iCs/>
          <w:snapToGrid w:val="0"/>
          <w:color w:val="000000"/>
          <w:kern w:val="0"/>
          <w:sz w:val="24"/>
          <w:szCs w:val="24"/>
          <w:highlight w:val="none"/>
        </w:rPr>
        <w:t>八、</w:t>
      </w:r>
      <w:r>
        <w:rPr>
          <w:rFonts w:hint="eastAsia" w:ascii="仿宋" w:hAnsi="仿宋" w:eastAsia="仿宋" w:cs="仿宋"/>
          <w:iCs/>
          <w:color w:val="000000"/>
          <w:sz w:val="24"/>
          <w:szCs w:val="24"/>
          <w:highlight w:val="none"/>
        </w:rPr>
        <w:t>因本保函发生争议协商解决不成，按以下第</w:t>
      </w:r>
      <w:r>
        <w:rPr>
          <w:rFonts w:hint="eastAsia" w:ascii="仿宋" w:hAnsi="仿宋" w:eastAsia="仿宋" w:cs="仿宋"/>
          <w:iCs/>
          <w:color w:val="000000"/>
          <w:sz w:val="24"/>
          <w:szCs w:val="24"/>
          <w:highlight w:val="none"/>
          <w:u w:val="single"/>
        </w:rPr>
        <w:t>（一）</w:t>
      </w:r>
      <w:r>
        <w:rPr>
          <w:rFonts w:hint="eastAsia" w:ascii="仿宋" w:hAnsi="仿宋" w:eastAsia="仿宋" w:cs="仿宋"/>
          <w:iCs/>
          <w:color w:val="000000"/>
          <w:sz w:val="24"/>
          <w:szCs w:val="24"/>
          <w:highlight w:val="none"/>
        </w:rPr>
        <w:t>种方式解决：</w:t>
      </w:r>
    </w:p>
    <w:p w14:paraId="6163FA6B">
      <w:pPr>
        <w:pStyle w:val="12"/>
        <w:snapToGrid w:val="0"/>
        <w:spacing w:after="0" w:line="360" w:lineRule="auto"/>
        <w:ind w:left="0" w:leftChars="0" w:firstLine="480" w:firstLineChars="200"/>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rPr>
        <w:t>（一）向</w:t>
      </w:r>
      <w:r>
        <w:rPr>
          <w:rFonts w:hint="eastAsia" w:ascii="仿宋" w:hAnsi="仿宋" w:eastAsia="仿宋" w:cs="仿宋"/>
          <w:iCs/>
          <w:color w:val="000000"/>
          <w:sz w:val="24"/>
          <w:szCs w:val="24"/>
          <w:highlight w:val="none"/>
          <w:u w:val="single"/>
        </w:rPr>
        <w:t xml:space="preserve">      </w:t>
      </w:r>
      <w:r>
        <w:rPr>
          <w:rFonts w:hint="eastAsia" w:ascii="仿宋" w:hAnsi="仿宋" w:eastAsia="仿宋" w:cs="仿宋"/>
          <w:iCs/>
          <w:color w:val="000000"/>
          <w:sz w:val="24"/>
          <w:szCs w:val="24"/>
          <w:highlight w:val="none"/>
        </w:rPr>
        <w:t>所在地的人民法院起诉。</w:t>
      </w:r>
    </w:p>
    <w:p w14:paraId="14A94014">
      <w:pPr>
        <w:pStyle w:val="12"/>
        <w:snapToGrid w:val="0"/>
        <w:spacing w:after="0" w:line="360" w:lineRule="auto"/>
        <w:ind w:left="0" w:leftChars="0" w:firstLine="480" w:firstLineChars="200"/>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rPr>
        <w:t>（二）提交</w:t>
      </w:r>
      <w:r>
        <w:rPr>
          <w:rFonts w:hint="eastAsia" w:ascii="仿宋" w:hAnsi="仿宋" w:eastAsia="仿宋" w:cs="仿宋"/>
          <w:iCs/>
          <w:color w:val="000000"/>
          <w:sz w:val="24"/>
          <w:szCs w:val="24"/>
          <w:highlight w:val="none"/>
          <w:u w:val="single"/>
        </w:rPr>
        <w:t xml:space="preserve">  /   </w:t>
      </w:r>
      <w:r>
        <w:rPr>
          <w:rFonts w:hint="eastAsia" w:ascii="仿宋" w:hAnsi="仿宋" w:eastAsia="仿宋" w:cs="仿宋"/>
          <w:iCs/>
          <w:color w:val="000000"/>
          <w:sz w:val="24"/>
          <w:szCs w:val="24"/>
          <w:highlight w:val="none"/>
        </w:rPr>
        <w:t>仲裁委员会（仲裁地点为</w:t>
      </w:r>
      <w:r>
        <w:rPr>
          <w:rFonts w:hint="eastAsia" w:ascii="仿宋" w:hAnsi="仿宋" w:eastAsia="仿宋" w:cs="仿宋"/>
          <w:iCs/>
          <w:color w:val="000000"/>
          <w:sz w:val="24"/>
          <w:szCs w:val="24"/>
          <w:highlight w:val="none"/>
          <w:u w:val="single"/>
        </w:rPr>
        <w:t xml:space="preserve">   /  </w:t>
      </w:r>
      <w:r>
        <w:rPr>
          <w:rFonts w:hint="eastAsia" w:ascii="仿宋" w:hAnsi="仿宋" w:eastAsia="仿宋" w:cs="仿宋"/>
          <w:iCs/>
          <w:color w:val="000000"/>
          <w:sz w:val="24"/>
          <w:szCs w:val="24"/>
          <w:highlight w:val="none"/>
        </w:rPr>
        <w:t>）,按照申请仲裁时该会现行有效的仲裁规则进行仲裁。仲裁裁决是终局的，对双方均有约束力。</w:t>
      </w:r>
    </w:p>
    <w:p w14:paraId="7307A45A">
      <w:pPr>
        <w:pStyle w:val="12"/>
        <w:snapToGrid w:val="0"/>
        <w:spacing w:after="0" w:line="360" w:lineRule="auto"/>
        <w:ind w:left="0" w:leftChars="0" w:firstLine="480" w:firstLineChars="200"/>
        <w:rPr>
          <w:rFonts w:hint="eastAsia" w:ascii="仿宋" w:hAnsi="仿宋" w:eastAsia="仿宋" w:cs="仿宋"/>
          <w:iCs/>
          <w:color w:val="000000"/>
          <w:sz w:val="24"/>
          <w:szCs w:val="24"/>
          <w:highlight w:val="none"/>
        </w:rPr>
      </w:pPr>
      <w:r>
        <w:rPr>
          <w:rFonts w:hint="eastAsia" w:ascii="仿宋" w:hAnsi="仿宋" w:eastAsia="仿宋" w:cs="仿宋"/>
          <w:iCs/>
          <w:snapToGrid w:val="0"/>
          <w:color w:val="000000"/>
          <w:kern w:val="0"/>
          <w:sz w:val="24"/>
          <w:szCs w:val="24"/>
          <w:highlight w:val="none"/>
        </w:rPr>
        <w:t>八、</w:t>
      </w:r>
      <w:r>
        <w:rPr>
          <w:rFonts w:hint="eastAsia" w:ascii="仿宋" w:hAnsi="仿宋" w:eastAsia="仿宋" w:cs="仿宋"/>
          <w:iCs/>
          <w:color w:val="000000"/>
          <w:sz w:val="24"/>
          <w:szCs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458A43A3">
      <w:pPr>
        <w:pStyle w:val="12"/>
        <w:snapToGrid w:val="0"/>
        <w:spacing w:after="0" w:line="360" w:lineRule="auto"/>
        <w:ind w:left="0" w:leftChars="0" w:firstLine="480" w:firstLineChars="200"/>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rPr>
        <w:t>九、本保函适用中华人民共和国法律。</w:t>
      </w:r>
    </w:p>
    <w:p w14:paraId="43F56CA3">
      <w:pPr>
        <w:pStyle w:val="12"/>
        <w:snapToGrid w:val="0"/>
        <w:spacing w:after="0" w:line="360" w:lineRule="auto"/>
        <w:ind w:left="0" w:leftChars="0" w:firstLine="480" w:firstLineChars="200"/>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rPr>
        <w:t>十、其他条款：</w:t>
      </w:r>
    </w:p>
    <w:p w14:paraId="75B93339">
      <w:pPr>
        <w:pStyle w:val="12"/>
        <w:snapToGrid w:val="0"/>
        <w:spacing w:after="0" w:line="360" w:lineRule="auto"/>
        <w:ind w:left="0" w:leftChars="0" w:firstLine="480" w:firstLineChars="200"/>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u w:val="single"/>
        </w:rPr>
        <w:t xml:space="preserve">                 /              </w:t>
      </w:r>
      <w:r>
        <w:rPr>
          <w:rFonts w:hint="eastAsia" w:ascii="仿宋" w:hAnsi="仿宋" w:eastAsia="仿宋" w:cs="仿宋"/>
          <w:iCs/>
          <w:color w:val="000000"/>
          <w:sz w:val="24"/>
          <w:szCs w:val="24"/>
          <w:highlight w:val="none"/>
        </w:rPr>
        <w:t>。</w:t>
      </w:r>
    </w:p>
    <w:p w14:paraId="7F9AB035">
      <w:pPr>
        <w:pStyle w:val="12"/>
        <w:snapToGrid w:val="0"/>
        <w:spacing w:after="0" w:line="360" w:lineRule="auto"/>
        <w:ind w:left="0" w:leftChars="0" w:firstLine="480" w:firstLineChars="200"/>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rPr>
        <w:t>十一、本保函自我方负责人或授权代理人签字并加盖公章之日起生效。</w:t>
      </w:r>
    </w:p>
    <w:p w14:paraId="2A2B73A0">
      <w:pPr>
        <w:pStyle w:val="12"/>
        <w:snapToGrid w:val="0"/>
        <w:spacing w:after="0" w:line="360" w:lineRule="auto"/>
        <w:ind w:left="0" w:leftChars="0" w:firstLine="200"/>
        <w:rPr>
          <w:rFonts w:hint="eastAsia" w:ascii="仿宋" w:hAnsi="仿宋" w:eastAsia="仿宋" w:cs="仿宋"/>
          <w:iCs/>
          <w:color w:val="000000"/>
          <w:sz w:val="24"/>
          <w:szCs w:val="24"/>
          <w:highlight w:val="none"/>
        </w:rPr>
      </w:pPr>
    </w:p>
    <w:p w14:paraId="4DCE80D7">
      <w:pPr>
        <w:snapToGrid w:val="0"/>
        <w:spacing w:line="360" w:lineRule="auto"/>
        <w:ind w:firstLine="1440" w:firstLineChars="6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 xml:space="preserve">  保证人（公章）： </w:t>
      </w:r>
      <w:r>
        <w:rPr>
          <w:rFonts w:hint="eastAsia" w:ascii="仿宋" w:hAnsi="仿宋" w:eastAsia="仿宋" w:cs="仿宋"/>
          <w:iCs/>
          <w:color w:val="000000"/>
          <w:sz w:val="24"/>
          <w:szCs w:val="24"/>
          <w:highlight w:val="none"/>
          <w:u w:val="single"/>
        </w:rPr>
        <w:t xml:space="preserve">                        </w:t>
      </w:r>
      <w:r>
        <w:rPr>
          <w:rFonts w:hint="eastAsia" w:ascii="仿宋" w:hAnsi="仿宋" w:eastAsia="仿宋" w:cs="仿宋"/>
          <w:iCs/>
          <w:color w:val="000000"/>
          <w:sz w:val="24"/>
          <w:szCs w:val="24"/>
          <w:highlight w:val="none"/>
          <w:u w:val="single"/>
          <w:lang w:val="en-US" w:eastAsia="zh-CN"/>
        </w:rPr>
        <w:t xml:space="preserve">            </w:t>
      </w:r>
    </w:p>
    <w:p w14:paraId="6152CA28">
      <w:pPr>
        <w:snapToGrid w:val="0"/>
        <w:spacing w:line="360" w:lineRule="auto"/>
        <w:ind w:firstLine="1680" w:firstLineChars="700"/>
        <w:rPr>
          <w:rFonts w:hint="eastAsia" w:ascii="仿宋" w:hAnsi="仿宋" w:eastAsia="仿宋" w:cs="仿宋"/>
          <w:color w:val="000000"/>
          <w:sz w:val="24"/>
          <w:szCs w:val="24"/>
          <w:highlight w:val="none"/>
        </w:rPr>
      </w:pPr>
      <w:r>
        <w:rPr>
          <w:rFonts w:hint="eastAsia" w:ascii="仿宋" w:hAnsi="仿宋" w:eastAsia="仿宋" w:cs="仿宋"/>
          <w:sz w:val="24"/>
          <w:szCs w:val="24"/>
        </w:rPr>
        <w:t>法定代表人（单位负责人）或其委托代理人：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rPr>
        <w:t>（签字）</w:t>
      </w:r>
    </w:p>
    <w:p w14:paraId="33CC2D2B">
      <w:pPr>
        <w:snapToGrid w:val="0"/>
        <w:spacing w:line="360" w:lineRule="auto"/>
        <w:ind w:firstLine="1680" w:firstLineChars="700"/>
        <w:rPr>
          <w:rFonts w:hint="default"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rPr>
        <w:t>电话：</w:t>
      </w:r>
      <w:r>
        <w:rPr>
          <w:rFonts w:hint="eastAsia" w:ascii="仿宋" w:hAnsi="仿宋" w:eastAsia="仿宋" w:cs="仿宋"/>
          <w:color w:val="000000"/>
          <w:sz w:val="24"/>
          <w:szCs w:val="24"/>
          <w:highlight w:val="none"/>
          <w:u w:val="single"/>
          <w:lang w:val="en-US" w:eastAsia="zh-CN"/>
        </w:rPr>
        <w:t xml:space="preserve">                                              </w:t>
      </w:r>
    </w:p>
    <w:p w14:paraId="4B663433">
      <w:pPr>
        <w:spacing w:line="360" w:lineRule="auto"/>
        <w:ind w:right="735" w:rightChars="350" w:firstLine="2640" w:firstLineChars="1100"/>
        <w:jc w:val="right"/>
        <w:rPr>
          <w:rFonts w:hint="eastAsia" w:ascii="仿宋" w:hAnsi="仿宋" w:eastAsia="仿宋" w:cs="仿宋"/>
          <w:color w:val="auto"/>
          <w:sz w:val="24"/>
          <w:szCs w:val="24"/>
        </w:rPr>
      </w:pPr>
      <w:r>
        <w:rPr>
          <w:rFonts w:hint="eastAsia" w:ascii="仿宋" w:hAnsi="仿宋" w:eastAsia="仿宋" w:cs="仿宋"/>
          <w:color w:val="000000"/>
          <w:sz w:val="24"/>
          <w:szCs w:val="24"/>
          <w:highlight w:val="none"/>
          <w:u w:val="none"/>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 xml:space="preserve"> 年</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 xml:space="preserve"> 月</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日</w:t>
      </w:r>
    </w:p>
    <w:p w14:paraId="735BBBDD">
      <w:pPr>
        <w:rPr>
          <w:rFonts w:hint="eastAsia" w:ascii="仿宋" w:hAnsi="仿宋" w:eastAsia="仿宋" w:cs="仿宋"/>
          <w:sz w:val="24"/>
          <w:szCs w:val="24"/>
        </w:rPr>
      </w:pPr>
      <w:r>
        <w:rPr>
          <w:rFonts w:hint="eastAsia" w:ascii="仿宋" w:hAnsi="仿宋" w:eastAsia="仿宋" w:cs="仿宋"/>
          <w:sz w:val="24"/>
          <w:szCs w:val="24"/>
        </w:rPr>
        <w:br w:type="page"/>
      </w:r>
    </w:p>
    <w:p w14:paraId="540F0C77">
      <w:pPr>
        <w:pStyle w:val="4"/>
        <w:spacing w:before="0" w:after="0"/>
        <w:ind w:firstLine="137"/>
        <w:rPr>
          <w:rFonts w:hint="eastAsia" w:ascii="楷体" w:hAnsi="楷体" w:eastAsia="楷体" w:cs="楷体"/>
          <w:i/>
          <w:iCs/>
          <w:color w:val="0000FF"/>
          <w:kern w:val="0"/>
          <w:sz w:val="24"/>
          <w:szCs w:val="24"/>
          <w:highlight w:val="none"/>
          <w:lang w:val="en-US" w:eastAsia="zh-CN" w:bidi="ar-SA"/>
        </w:rPr>
      </w:pPr>
      <w:bookmarkStart w:id="410" w:name="_Toc21660"/>
      <w:bookmarkStart w:id="411" w:name="_Toc20755"/>
      <w:r>
        <w:rPr>
          <w:rFonts w:hint="eastAsia" w:ascii="仿宋" w:hAnsi="仿宋" w:eastAsia="仿宋" w:cs="仿宋"/>
          <w:b w:val="0"/>
          <w:bCs w:val="0"/>
          <w:color w:val="auto"/>
          <w:highlight w:val="none"/>
        </w:rPr>
        <w:t>附</w:t>
      </w:r>
      <w:bookmarkStart w:id="412" w:name="_Toc296891059"/>
      <w:bookmarkStart w:id="413" w:name="_Toc296346732"/>
      <w:bookmarkStart w:id="414" w:name="_Toc296347230"/>
      <w:bookmarkStart w:id="415" w:name="_Toc296503231"/>
      <w:bookmarkStart w:id="416" w:name="_Toc296891271"/>
      <w:bookmarkStart w:id="417" w:name="_Toc296944570"/>
      <w:r>
        <w:rPr>
          <w:rFonts w:hint="eastAsia" w:ascii="仿宋" w:hAnsi="仿宋" w:eastAsia="仿宋" w:cs="仿宋"/>
          <w:b w:val="0"/>
          <w:bCs w:val="0"/>
          <w:color w:val="auto"/>
          <w:highlight w:val="none"/>
        </w:rPr>
        <w:t>件三：廉政协议</w:t>
      </w:r>
      <w:r>
        <w:rPr>
          <w:rFonts w:hint="eastAsia" w:ascii="楷体" w:hAnsi="楷体" w:eastAsia="楷体" w:cs="楷体"/>
          <w:i/>
          <w:iCs/>
          <w:color w:val="0000FF"/>
          <w:kern w:val="0"/>
          <w:sz w:val="24"/>
          <w:szCs w:val="24"/>
          <w:highlight w:val="none"/>
          <w:lang w:val="en-US" w:eastAsia="zh-CN" w:bidi="ar-SA"/>
        </w:rPr>
        <w:t>（仅供编制询比文件时参考）</w:t>
      </w:r>
      <w:bookmarkEnd w:id="410"/>
      <w:bookmarkEnd w:id="411"/>
    </w:p>
    <w:bookmarkEnd w:id="412"/>
    <w:bookmarkEnd w:id="413"/>
    <w:bookmarkEnd w:id="414"/>
    <w:bookmarkEnd w:id="415"/>
    <w:bookmarkEnd w:id="416"/>
    <w:bookmarkEnd w:id="417"/>
    <w:p w14:paraId="2274544D">
      <w:pPr>
        <w:bidi w:val="0"/>
        <w:jc w:val="center"/>
        <w:rPr>
          <w:rFonts w:hint="eastAsia" w:ascii="仿宋" w:hAnsi="仿宋" w:eastAsia="仿宋" w:cs="仿宋"/>
          <w:sz w:val="28"/>
          <w:szCs w:val="28"/>
        </w:rPr>
      </w:pPr>
      <w:bookmarkStart w:id="418" w:name="_Toc14421"/>
      <w:bookmarkStart w:id="419" w:name="_Toc26672"/>
      <w:bookmarkStart w:id="420" w:name="_Toc10732"/>
      <w:bookmarkStart w:id="421" w:name="_Toc1665"/>
      <w:r>
        <w:rPr>
          <w:rFonts w:hint="eastAsia" w:ascii="仿宋" w:hAnsi="仿宋" w:eastAsia="仿宋" w:cs="仿宋"/>
          <w:sz w:val="28"/>
          <w:szCs w:val="28"/>
        </w:rPr>
        <w:t>廉政协议</w:t>
      </w:r>
      <w:bookmarkEnd w:id="418"/>
      <w:bookmarkEnd w:id="419"/>
      <w:bookmarkEnd w:id="420"/>
      <w:bookmarkEnd w:id="421"/>
    </w:p>
    <w:p w14:paraId="4959B3DA">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为促进双方诚信经营、廉洁从业，防范商业贿赂，保护国家、集体和当事人的合法权益，根据国家有关法律法规和安徽省、</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0000FF"/>
          <w:kern w:val="0"/>
          <w:sz w:val="24"/>
          <w:szCs w:val="24"/>
          <w:highlight w:val="none"/>
          <w:lang w:val="en-US" w:eastAsia="zh-CN"/>
        </w:rPr>
        <w:t>项目所在地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廉政建设的规定，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（买方名称，以下简称“买方”）</w:t>
      </w:r>
      <w:r>
        <w:rPr>
          <w:rFonts w:hint="eastAsia" w:ascii="仿宋" w:hAnsi="仿宋" w:eastAsia="仿宋" w:cs="仿宋"/>
          <w:color w:val="auto"/>
          <w:kern w:val="0"/>
          <w:sz w:val="24"/>
          <w:szCs w:val="24"/>
          <w:highlight w:val="none"/>
        </w:rPr>
        <w:t>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（卖方名称，以下称“卖方”）</w:t>
      </w:r>
      <w:r>
        <w:rPr>
          <w:rFonts w:hint="eastAsia" w:ascii="仿宋" w:hAnsi="仿宋" w:eastAsia="仿宋" w:cs="仿宋"/>
          <w:color w:val="auto"/>
          <w:kern w:val="0"/>
          <w:sz w:val="24"/>
          <w:szCs w:val="24"/>
          <w:highlight w:val="none"/>
        </w:rPr>
        <w:t>，特此订立本协议共同遵照执行。</w:t>
      </w:r>
    </w:p>
    <w:p w14:paraId="24384496">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bookmarkStart w:id="422" w:name="_Toc26234"/>
      <w:bookmarkStart w:id="423" w:name="_Toc13385"/>
      <w:bookmarkStart w:id="424" w:name="_Toc26094"/>
      <w:bookmarkStart w:id="425" w:name="_Toc27285"/>
      <w:r>
        <w:rPr>
          <w:rFonts w:hint="eastAsia" w:ascii="仿宋" w:hAnsi="仿宋" w:eastAsia="仿宋" w:cs="仿宋"/>
          <w:color w:val="auto"/>
          <w:kern w:val="0"/>
          <w:sz w:val="24"/>
          <w:szCs w:val="24"/>
          <w:highlight w:val="none"/>
        </w:rPr>
        <w:t>第一条 买卖双方的权利和义务</w:t>
      </w:r>
      <w:bookmarkEnd w:id="422"/>
      <w:bookmarkEnd w:id="423"/>
      <w:bookmarkEnd w:id="424"/>
      <w:bookmarkEnd w:id="425"/>
    </w:p>
    <w:p w14:paraId="6AA7063B">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买卖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2E488FE">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（二）严格执行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的合同要求，自觉履行合同约定的相关义务。</w:t>
      </w:r>
    </w:p>
    <w:p w14:paraId="2D813FF0">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（三）在业务活动中坚持公开、公正、诚信、透明的原则，不得损害国家、集体利益。</w:t>
      </w:r>
    </w:p>
    <w:p w14:paraId="5B54F3E8">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（四）建立健全廉政制度，开展廉政教育，公布举报电话，监督并认真查处违法违纪行为。</w:t>
      </w:r>
    </w:p>
    <w:p w14:paraId="5ABEBFAE">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（五）发现对方在业务活动中有违反廉政规定的行为，应及时提醒对方纠正。情节严重的，应向其上级有关部门举报、建议给予处理，并有权要求告知处理结果。</w:t>
      </w:r>
    </w:p>
    <w:p w14:paraId="7C8640B8">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bookmarkStart w:id="426" w:name="_Toc25996"/>
      <w:bookmarkStart w:id="427" w:name="_Toc26482"/>
      <w:bookmarkStart w:id="428" w:name="_Toc14350"/>
      <w:bookmarkStart w:id="429" w:name="_Toc26503"/>
      <w:r>
        <w:rPr>
          <w:rFonts w:hint="eastAsia" w:ascii="仿宋" w:hAnsi="仿宋" w:eastAsia="仿宋" w:cs="仿宋"/>
          <w:color w:val="auto"/>
          <w:kern w:val="0"/>
          <w:sz w:val="24"/>
          <w:szCs w:val="24"/>
          <w:highlight w:val="none"/>
        </w:rPr>
        <w:t>第二条 买方的义务</w:t>
      </w:r>
      <w:bookmarkEnd w:id="426"/>
      <w:bookmarkEnd w:id="427"/>
      <w:bookmarkEnd w:id="428"/>
      <w:bookmarkEnd w:id="429"/>
    </w:p>
    <w:p w14:paraId="69B5E752">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（一）买方及其工作人员不得索要或接受卖方的礼金、有价证券和贵重物品，不得在卖方报销任何应由买方单位或个人支付的费用等。</w:t>
      </w:r>
    </w:p>
    <w:p w14:paraId="3B54CCDB">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买方工作人员不得参加卖方安排的可能影响相关业务公开、公正、公平性的宴请和娱乐活动；不得参与任何形式的赌博，严禁通过赌博方式取得卖方及其工作人员的财物；不得接受卖方提供的通讯工具和高档办公用品等。</w:t>
      </w:r>
    </w:p>
    <w:p w14:paraId="37B81F2E">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（三）买方及其工作人员不得要求或者接受卖方为其住房装修、婚丧嫁娶活动、配偶子女工作安排以及出国出境、旅游等提供方便等。</w:t>
      </w:r>
    </w:p>
    <w:p w14:paraId="469EF40B">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（四）买方工作人员不得在卖方有股权关联的企业兼职，不得向卖方介绍家属或者亲友从事与买方业务有关的经济活动。</w:t>
      </w:r>
    </w:p>
    <w:p w14:paraId="4618D285">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（五）买方工作人员不得以明显低于市场的价格向卖方购买房屋、汽车等物品；不得以明显高于市场的价格向卖方出售房屋、汽车等物品；不得以其他交易形式非法收受请托人财物。</w:t>
      </w:r>
    </w:p>
    <w:p w14:paraId="2AE2541A">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（六）买方工作人员不得利用职务之便收受卖方以回扣、手续费、加班费、咨询费、劳务费、协调费、辛苦费等各种名义给予或赠送的钱物。</w:t>
      </w:r>
    </w:p>
    <w:p w14:paraId="3169D270">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（七）买方工作人员不得接受卖方给予或赠送的干股或红利。</w:t>
      </w:r>
    </w:p>
    <w:p w14:paraId="6748955E">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（八）买方任何人不得以个人的名义向卖方推荐设备、部件等供货商以及其它合作单位。</w:t>
      </w:r>
    </w:p>
    <w:p w14:paraId="4A72B81A">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bookmarkStart w:id="430" w:name="_Toc22928"/>
      <w:bookmarkStart w:id="431" w:name="_Toc17948"/>
      <w:bookmarkStart w:id="432" w:name="_Toc3903"/>
      <w:bookmarkStart w:id="433" w:name="_Toc16168"/>
      <w:r>
        <w:rPr>
          <w:rFonts w:hint="eastAsia" w:ascii="仿宋" w:hAnsi="仿宋" w:eastAsia="仿宋" w:cs="仿宋"/>
          <w:color w:val="auto"/>
          <w:kern w:val="0"/>
          <w:sz w:val="24"/>
          <w:szCs w:val="24"/>
          <w:highlight w:val="none"/>
        </w:rPr>
        <w:t>第三条 卖方的义务</w:t>
      </w:r>
      <w:bookmarkEnd w:id="430"/>
      <w:bookmarkEnd w:id="431"/>
      <w:bookmarkEnd w:id="432"/>
      <w:bookmarkEnd w:id="433"/>
    </w:p>
    <w:p w14:paraId="6FB782F2">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（一）卖方不得以任何理由向买方及其工作人员行贿或馈赠礼金、有价证券、贵重礼品。</w:t>
      </w:r>
    </w:p>
    <w:p w14:paraId="29FAF402">
      <w:pPr>
        <w:widowControl/>
        <w:spacing w:line="360" w:lineRule="auto"/>
        <w:ind w:firstLine="484" w:firstLineChars="20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（二）卖方不得以任何名义为买方及其工作人员报销应由买方单位或个人支付的任何费用。</w:t>
      </w:r>
    </w:p>
    <w:p w14:paraId="7B81B36F">
      <w:pPr>
        <w:widowControl/>
        <w:spacing w:line="360" w:lineRule="auto"/>
        <w:ind w:firstLine="484" w:firstLineChars="20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（三）卖方不得以任何理由安排买方工作人员参加可能影响相关业务公开、公正、公平性的宴请及娱乐活动。</w:t>
      </w:r>
    </w:p>
    <w:p w14:paraId="5F98AEA6">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（四）卖方不得为买方单位和个人购置或提供通讯工具和高档办公用品等物品，也不得为买方提供与工作无关的房屋、汽车等。</w:t>
      </w:r>
    </w:p>
    <w:p w14:paraId="4F1AC1BF">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（五）卖方不得与买方工作人员就合同中的质量、数量、价格、工程量、验收等条款进行私下商谈或者达成默契。</w:t>
      </w:r>
    </w:p>
    <w:p w14:paraId="2AA3C49C">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（六）卖方不得以回扣、手续费、加班费、咨询费、劳务费、协调费、辛苦费等各种名义向买方工作人员给予或赠送钱物。</w:t>
      </w:r>
    </w:p>
    <w:p w14:paraId="43B5EE56">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（七）卖方不得向买方工作人员提供干股或红利。</w:t>
      </w:r>
    </w:p>
    <w:p w14:paraId="612521C2">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（八）卖方须按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专项纪检监察工作组</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如有</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要求开展相关工作。</w:t>
      </w:r>
    </w:p>
    <w:p w14:paraId="199E6A77">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bookmarkStart w:id="434" w:name="_Toc18108"/>
      <w:bookmarkStart w:id="435" w:name="_Toc17966"/>
      <w:bookmarkStart w:id="436" w:name="_Toc11820"/>
      <w:bookmarkStart w:id="437" w:name="_Toc15243"/>
      <w:r>
        <w:rPr>
          <w:rFonts w:hint="eastAsia" w:ascii="仿宋" w:hAnsi="仿宋" w:eastAsia="仿宋" w:cs="仿宋"/>
          <w:color w:val="auto"/>
          <w:kern w:val="0"/>
          <w:sz w:val="24"/>
          <w:szCs w:val="24"/>
          <w:highlight w:val="none"/>
        </w:rPr>
        <w:t>第四条 违约责任</w:t>
      </w:r>
      <w:bookmarkEnd w:id="434"/>
      <w:bookmarkEnd w:id="435"/>
      <w:bookmarkEnd w:id="436"/>
      <w:bookmarkEnd w:id="437"/>
    </w:p>
    <w:p w14:paraId="1B9ECAA1">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买方及其工作人员违反本协议第一、二条规定。买方按管理权限，对相关责任人依据有关规定给予党纪、政纪处分或组织处理；涉嫌犯罪的，移交司法机关追究刑事责任；给卖方单位造成经济损失的，应予以赔偿。</w:t>
      </w:r>
    </w:p>
    <w:p w14:paraId="0C89F017">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买方投诉联系部门：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5635BA59">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（二）卖方及其工作人员违反本协议第一、三条规定。根据具体情节和造成的后果，买方有权对卖方采取以下一种或多种处理办法：</w:t>
      </w:r>
    </w:p>
    <w:p w14:paraId="3A0DDF16">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1.全额收取卖方合同履约保证金不予退还； </w:t>
      </w:r>
    </w:p>
    <w:p w14:paraId="369D3C11">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2.追究卖方其他违约责任；</w:t>
      </w:r>
    </w:p>
    <w:p w14:paraId="2A8487CC">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3.终止或解除双方已签订的包括本合同在内的所有合同；</w:t>
      </w:r>
    </w:p>
    <w:p w14:paraId="4C240C05">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4.卖方一定期限内（6个月至3年，具体由买方根据情况而定）不得参与买方作为发包人（业主）的项目</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w:t>
      </w:r>
    </w:p>
    <w:p w14:paraId="7F593508">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买方作出的处理意见，卖方应无条件接受并承担给买方造成的损失，全额返还通过不正当手段从买方获取的非法所得，并承担相应的法律责任。</w:t>
      </w:r>
    </w:p>
    <w:p w14:paraId="0A879510">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bookmarkStart w:id="438" w:name="_Toc24761"/>
      <w:bookmarkStart w:id="439" w:name="_Toc26230"/>
      <w:bookmarkStart w:id="440" w:name="_Toc22278"/>
      <w:bookmarkStart w:id="441" w:name="_Toc16343"/>
      <w:r>
        <w:rPr>
          <w:rFonts w:hint="eastAsia" w:ascii="仿宋" w:hAnsi="仿宋" w:eastAsia="仿宋" w:cs="仿宋"/>
          <w:color w:val="auto"/>
          <w:kern w:val="0"/>
          <w:sz w:val="24"/>
          <w:szCs w:val="24"/>
          <w:highlight w:val="none"/>
        </w:rPr>
        <w:t>第五条 双方约定</w:t>
      </w:r>
      <w:bookmarkEnd w:id="438"/>
      <w:bookmarkEnd w:id="439"/>
      <w:bookmarkEnd w:id="440"/>
      <w:bookmarkEnd w:id="441"/>
    </w:p>
    <w:p w14:paraId="491A0A41">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本协议由双方或双方上级单位负责监督。可由买方或买方上级单位的纪检监察部门约请卖方或卖方上级单位的纪检监察部门对本协议履行情况进行检查，提出在本协议规定范围内的裁定意见。</w:t>
      </w:r>
    </w:p>
    <w:p w14:paraId="51AB4C7B">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bookmarkStart w:id="442" w:name="_Toc30729"/>
      <w:bookmarkStart w:id="443" w:name="_Toc28013"/>
      <w:bookmarkStart w:id="444" w:name="_Toc4683"/>
      <w:bookmarkStart w:id="445" w:name="_Toc13312"/>
      <w:r>
        <w:rPr>
          <w:rFonts w:hint="eastAsia" w:ascii="仿宋" w:hAnsi="仿宋" w:eastAsia="仿宋" w:cs="仿宋"/>
          <w:color w:val="auto"/>
          <w:kern w:val="0"/>
          <w:sz w:val="24"/>
          <w:szCs w:val="24"/>
          <w:highlight w:val="none"/>
        </w:rPr>
        <w:t>第六条  本协议有效期为买卖双方签署之日起至合同终止。</w:t>
      </w:r>
      <w:bookmarkEnd w:id="442"/>
      <w:bookmarkEnd w:id="443"/>
      <w:bookmarkEnd w:id="444"/>
      <w:bookmarkEnd w:id="445"/>
      <w:r>
        <w:rPr>
          <w:rFonts w:hint="eastAsia" w:ascii="仿宋" w:hAnsi="仿宋" w:eastAsia="仿宋" w:cs="仿宋"/>
          <w:color w:val="auto"/>
          <w:kern w:val="0"/>
          <w:sz w:val="24"/>
          <w:szCs w:val="24"/>
          <w:highlight w:val="none"/>
        </w:rPr>
        <w:t xml:space="preserve">  </w:t>
      </w:r>
    </w:p>
    <w:p w14:paraId="6C95892C">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bookmarkStart w:id="446" w:name="_Toc14309"/>
      <w:bookmarkStart w:id="447" w:name="_Toc27516"/>
      <w:bookmarkStart w:id="448" w:name="_Toc29460"/>
      <w:bookmarkStart w:id="449" w:name="_Toc2701"/>
      <w:r>
        <w:rPr>
          <w:rFonts w:hint="eastAsia" w:ascii="仿宋" w:hAnsi="仿宋" w:eastAsia="仿宋" w:cs="仿宋"/>
          <w:color w:val="auto"/>
          <w:kern w:val="0"/>
          <w:sz w:val="24"/>
          <w:szCs w:val="24"/>
          <w:highlight w:val="none"/>
        </w:rPr>
        <w:t>第七条  本协议作为合同的附件，与本合同具有同等法律效力。</w:t>
      </w:r>
      <w:bookmarkEnd w:id="446"/>
      <w:bookmarkEnd w:id="447"/>
      <w:bookmarkEnd w:id="448"/>
      <w:bookmarkEnd w:id="449"/>
    </w:p>
    <w:p w14:paraId="643D5687">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p>
    <w:p w14:paraId="3D345297">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买方（盖章）：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卖方（盖章）：</w:t>
      </w:r>
      <w:r>
        <w:rPr>
          <w:rFonts w:hint="eastAsia" w:ascii="仿宋" w:hAnsi="仿宋" w:eastAsia="仿宋" w:cs="仿宋"/>
          <w:color w:val="auto"/>
          <w:kern w:val="0"/>
          <w:sz w:val="24"/>
          <w:szCs w:val="24"/>
          <w:highlight w:val="none"/>
          <w:u w:val="single"/>
        </w:rPr>
        <w:t xml:space="preserve">           </w:t>
      </w:r>
    </w:p>
    <w:p w14:paraId="542FEC24">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p>
    <w:p w14:paraId="7C093A4C">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                            法定代表人或</w:t>
      </w:r>
    </w:p>
    <w:p w14:paraId="24341C17">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授权代表：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授权代表：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lang w:eastAsia="zh-CN"/>
        </w:rPr>
        <w:t>）</w:t>
      </w:r>
    </w:p>
    <w:p w14:paraId="65A5B92F">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1954EFAD">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签字：</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签字：</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46466347">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p>
    <w:p w14:paraId="01E16EC6">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廉政监督联系人                           廉政监督联系人</w:t>
      </w:r>
    </w:p>
    <w:p w14:paraId="116C341B">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11025848">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签字：</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签字：</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743E4532">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476200C1">
      <w:pPr>
        <w:widowControl/>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地址：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73E51F08">
      <w:pPr>
        <w:ind w:firstLine="480" w:firstLineChars="200"/>
        <w:jc w:val="both"/>
        <w:rPr>
          <w:rFonts w:hint="eastAsia" w:ascii="仿宋" w:hAnsi="仿宋" w:eastAsia="仿宋" w:cs="仿宋"/>
          <w:sz w:val="24"/>
          <w:szCs w:val="24"/>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2180922C">
      <w:pPr>
        <w:rPr>
          <w:rFonts w:hint="eastAsia" w:ascii="仿宋" w:hAnsi="仿宋" w:eastAsia="仿宋" w:cs="仿宋"/>
          <w:sz w:val="24"/>
          <w:szCs w:val="24"/>
        </w:rPr>
      </w:pPr>
    </w:p>
    <w:p w14:paraId="6188001E">
      <w:pPr>
        <w:jc w:val="center"/>
        <w:rPr>
          <w:rFonts w:hint="eastAsia" w:ascii="仿宋" w:hAnsi="仿宋" w:eastAsia="仿宋" w:cs="仿宋"/>
          <w:sz w:val="24"/>
          <w:szCs w:val="24"/>
        </w:rPr>
      </w:pPr>
      <w:r>
        <w:rPr>
          <w:rFonts w:hint="eastAsia" w:ascii="仿宋" w:hAnsi="仿宋" w:eastAsia="仿宋" w:cs="仿宋"/>
          <w:sz w:val="24"/>
          <w:szCs w:val="24"/>
        </w:rPr>
        <w:br w:type="page"/>
      </w:r>
    </w:p>
    <w:p w14:paraId="36CE62FD">
      <w:pPr>
        <w:rPr>
          <w:color w:val="000000"/>
        </w:rPr>
      </w:pPr>
      <w:bookmarkStart w:id="450" w:name="_Toc501460777"/>
      <w:bookmarkStart w:id="451" w:name="_Toc247085853"/>
      <w:bookmarkStart w:id="452" w:name="_Toc246996338"/>
      <w:bookmarkStart w:id="453" w:name="_Toc179632787"/>
      <w:bookmarkStart w:id="454" w:name="_Toc246997081"/>
      <w:bookmarkStart w:id="455" w:name="_Toc144974829"/>
      <w:bookmarkStart w:id="456" w:name="_Toc247527798"/>
      <w:bookmarkStart w:id="457" w:name="_Toc144974578"/>
      <w:bookmarkStart w:id="458" w:name="_Toc247514197"/>
      <w:bookmarkStart w:id="459" w:name="_Toc184635122"/>
      <w:bookmarkStart w:id="460" w:name="_Toc152042549"/>
      <w:bookmarkStart w:id="461" w:name="_Toc152042388"/>
      <w:bookmarkStart w:id="462" w:name="_Toc152045610"/>
      <w:bookmarkStart w:id="463" w:name="_Toc300835199"/>
    </w:p>
    <w:p w14:paraId="4798DFC7">
      <w:pPr>
        <w:rPr>
          <w:color w:val="000000"/>
        </w:rPr>
      </w:pPr>
    </w:p>
    <w:p w14:paraId="552B06B6">
      <w:pPr>
        <w:rPr>
          <w:color w:val="000000"/>
        </w:rPr>
      </w:pPr>
    </w:p>
    <w:p w14:paraId="2C4362D6">
      <w:pPr>
        <w:rPr>
          <w:color w:val="000000"/>
        </w:rPr>
      </w:pPr>
    </w:p>
    <w:p w14:paraId="7D64298B">
      <w:pPr>
        <w:rPr>
          <w:color w:val="000000"/>
        </w:rPr>
      </w:pPr>
    </w:p>
    <w:p w14:paraId="568B948D">
      <w:pPr>
        <w:rPr>
          <w:color w:val="000000"/>
        </w:rPr>
      </w:pPr>
    </w:p>
    <w:p w14:paraId="6C5D1A1C">
      <w:pPr>
        <w:rPr>
          <w:color w:val="000000"/>
        </w:rPr>
      </w:pPr>
    </w:p>
    <w:p w14:paraId="1FEA9C2F">
      <w:pPr>
        <w:rPr>
          <w:color w:val="000000"/>
        </w:rPr>
      </w:pPr>
    </w:p>
    <w:p w14:paraId="5AFD64A9">
      <w:pPr>
        <w:pStyle w:val="2"/>
        <w:jc w:val="center"/>
        <w:rPr>
          <w:rFonts w:hint="eastAsia" w:ascii="仿宋" w:hAnsi="仿宋" w:eastAsia="仿宋" w:cs="仿宋"/>
        </w:rPr>
      </w:pPr>
      <w:bookmarkStart w:id="464" w:name="_Toc21590"/>
      <w:bookmarkStart w:id="465" w:name="_Toc12016"/>
      <w:bookmarkStart w:id="466" w:name="_Toc11261"/>
      <w:bookmarkStart w:id="467" w:name="_Toc25231"/>
      <w:bookmarkStart w:id="468" w:name="_Toc27128"/>
      <w:r>
        <w:rPr>
          <w:rFonts w:hint="eastAsia" w:ascii="仿宋" w:hAnsi="仿宋" w:eastAsia="仿宋" w:cs="仿宋"/>
        </w:rPr>
        <w:t xml:space="preserve">第五章  </w:t>
      </w:r>
      <w:r>
        <w:rPr>
          <w:rFonts w:hint="eastAsia" w:ascii="仿宋" w:hAnsi="仿宋" w:eastAsia="仿宋" w:cs="仿宋"/>
          <w:lang w:val="en-US" w:eastAsia="zh-CN"/>
        </w:rPr>
        <w:t>服务</w:t>
      </w:r>
      <w:r>
        <w:rPr>
          <w:rFonts w:hint="eastAsia" w:ascii="仿宋" w:hAnsi="仿宋" w:eastAsia="仿宋" w:cs="仿宋"/>
        </w:rPr>
        <w:t>需求</w:t>
      </w:r>
      <w:bookmarkEnd w:id="450"/>
      <w:bookmarkEnd w:id="464"/>
      <w:bookmarkEnd w:id="465"/>
      <w:bookmarkEnd w:id="466"/>
      <w:bookmarkEnd w:id="467"/>
      <w:bookmarkEnd w:id="468"/>
    </w:p>
    <w:p w14:paraId="2644719F">
      <w:pPr>
        <w:rPr>
          <w:rFonts w:ascii="Times New Roman" w:hAnsi="Times New Roman"/>
        </w:rPr>
      </w:pPr>
      <w:r>
        <w:rPr>
          <w:rFonts w:hint="eastAsia" w:ascii="Times New Roman" w:hAnsi="Times New Roman"/>
        </w:rPr>
        <w:br w:type="page"/>
      </w:r>
    </w:p>
    <w:p w14:paraId="45E08BCD">
      <w:pPr>
        <w:pStyle w:val="3"/>
        <w:spacing w:before="0" w:after="0" w:line="360" w:lineRule="auto"/>
        <w:rPr>
          <w:rFonts w:hint="eastAsia" w:ascii="仿宋" w:hAnsi="仿宋" w:eastAsia="仿宋" w:cs="仿宋"/>
          <w:b w:val="0"/>
          <w:bCs/>
          <w:sz w:val="28"/>
          <w:szCs w:val="28"/>
        </w:rPr>
      </w:pPr>
      <w:bookmarkStart w:id="469" w:name="_Toc2526"/>
      <w:bookmarkStart w:id="470" w:name="_Toc29179"/>
      <w:bookmarkStart w:id="471" w:name="_Toc13773"/>
      <w:bookmarkStart w:id="472" w:name="_Toc31974"/>
      <w:bookmarkStart w:id="473" w:name="_Toc501460778"/>
      <w:bookmarkStart w:id="474" w:name="_Toc6380"/>
      <w:bookmarkStart w:id="475" w:name="_Toc151393501"/>
      <w:bookmarkStart w:id="476" w:name="_Toc4621"/>
      <w:bookmarkStart w:id="477" w:name="_Toc31591"/>
      <w:bookmarkStart w:id="478" w:name="_Toc22524"/>
      <w:bookmarkStart w:id="479" w:name="_Toc27747"/>
      <w:r>
        <w:rPr>
          <w:rFonts w:hint="eastAsia" w:ascii="仿宋" w:hAnsi="仿宋" w:eastAsia="仿宋" w:cs="仿宋"/>
          <w:b w:val="0"/>
          <w:bCs/>
          <w:sz w:val="28"/>
          <w:szCs w:val="28"/>
        </w:rPr>
        <w:t>一、项目概况</w:t>
      </w:r>
      <w:bookmarkEnd w:id="469"/>
      <w:bookmarkEnd w:id="470"/>
      <w:bookmarkEnd w:id="471"/>
      <w:bookmarkEnd w:id="472"/>
      <w:bookmarkEnd w:id="473"/>
      <w:bookmarkEnd w:id="474"/>
      <w:bookmarkEnd w:id="475"/>
      <w:bookmarkEnd w:id="476"/>
      <w:bookmarkEnd w:id="477"/>
      <w:bookmarkEnd w:id="478"/>
      <w:bookmarkEnd w:id="479"/>
    </w:p>
    <w:p w14:paraId="5FE340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界首市恒居建设发展有限公司组建于2020年9月，注册资本5000万元，股东分别为安徽省建设投资有限责任公司，出资3000万元，占比60%；界首城乡建设有限公司，出资2000万元，占比40%。</w:t>
      </w:r>
    </w:p>
    <w:p w14:paraId="29B735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公司设董事会，成员共计5人，其中董事长1名，不设立监事会，设监事1名。下辖共计五个职能部门，分别为：综合管理部、财务部、投资发展部、成本部、工程部。</w:t>
      </w:r>
    </w:p>
    <w:p w14:paraId="381FC9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界首恒居公司经营范围包括：城市棚户区改造、投资、开发、建设与管理;房地产开发;物业管理;土地整治、复垦及土地储备业务;生态环境治理;基础设施投资和建设;建筑材料销售。</w:t>
      </w:r>
    </w:p>
    <w:p w14:paraId="0382AC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目前，公司在建项目为福通家园(南苑、北苑)，规划总用地面积43万平方米(645.07 亩)，总建筑面积114. 89万平方米，其中住宅建筑面积82.01万平方米，商业建筑面积3.7万平方米，其余为地下车库和配套用房，总户数约7450户，其中计划安置户数约3680户，其余进行市场销售。</w:t>
      </w:r>
    </w:p>
    <w:p w14:paraId="6A3E188B">
      <w:pPr>
        <w:pStyle w:val="3"/>
        <w:spacing w:before="0" w:after="0" w:line="360" w:lineRule="auto"/>
        <w:rPr>
          <w:rFonts w:hint="eastAsia" w:ascii="仿宋" w:hAnsi="仿宋" w:eastAsia="仿宋" w:cs="仿宋"/>
          <w:b w:val="0"/>
          <w:bCs/>
          <w:sz w:val="28"/>
          <w:szCs w:val="28"/>
        </w:rPr>
      </w:pPr>
      <w:bookmarkStart w:id="480" w:name="_Toc15614"/>
      <w:bookmarkStart w:id="481" w:name="_Toc1658"/>
      <w:bookmarkStart w:id="482" w:name="_Toc2916"/>
      <w:bookmarkStart w:id="483" w:name="_Toc30632"/>
      <w:bookmarkStart w:id="484" w:name="_Toc18281"/>
      <w:bookmarkStart w:id="485" w:name="_Toc501460779"/>
      <w:bookmarkStart w:id="486" w:name="_Toc15068"/>
      <w:bookmarkStart w:id="487" w:name="_Toc151393502"/>
      <w:bookmarkStart w:id="488" w:name="_Toc27074"/>
      <w:bookmarkStart w:id="489" w:name="_Toc19415"/>
      <w:bookmarkStart w:id="490" w:name="_Toc14974"/>
      <w:r>
        <w:rPr>
          <w:rFonts w:hint="eastAsia" w:ascii="仿宋" w:hAnsi="仿宋" w:eastAsia="仿宋" w:cs="仿宋"/>
          <w:b w:val="0"/>
          <w:bCs/>
          <w:sz w:val="28"/>
          <w:szCs w:val="28"/>
        </w:rPr>
        <w:t>二、</w:t>
      </w:r>
      <w:bookmarkEnd w:id="480"/>
      <w:bookmarkEnd w:id="481"/>
      <w:bookmarkEnd w:id="482"/>
      <w:bookmarkEnd w:id="483"/>
      <w:bookmarkEnd w:id="484"/>
      <w:bookmarkEnd w:id="485"/>
      <w:bookmarkEnd w:id="486"/>
      <w:bookmarkEnd w:id="487"/>
      <w:r>
        <w:rPr>
          <w:rFonts w:hint="eastAsia" w:ascii="仿宋" w:hAnsi="仿宋" w:eastAsia="仿宋" w:cs="仿宋"/>
          <w:b w:val="0"/>
          <w:bCs/>
          <w:sz w:val="28"/>
          <w:szCs w:val="28"/>
        </w:rPr>
        <w:t>服务采购需求</w:t>
      </w:r>
      <w:bookmarkEnd w:id="488"/>
      <w:bookmarkEnd w:id="489"/>
      <w:bookmarkEnd w:id="490"/>
    </w:p>
    <w:p w14:paraId="4BA9A4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bookmarkStart w:id="491" w:name="_Toc501460780"/>
      <w:r>
        <w:rPr>
          <w:rFonts w:hint="eastAsia" w:ascii="仿宋" w:hAnsi="仿宋" w:eastAsia="仿宋" w:cs="仿宋"/>
          <w:b w:val="0"/>
          <w:bCs/>
          <w:sz w:val="28"/>
          <w:szCs w:val="28"/>
          <w:lang w:val="en-US" w:eastAsia="zh-CN"/>
        </w:rPr>
        <w:t>首市恒居建设发展有限公司2024——2026年度财务年报审计报告及季报编制工作,审计报告电子版及纸质版归采购人所有，其中2024年须提供年报审计报告，2025年-2026年须提供年报审计报告和季报审计报告。</w:t>
      </w:r>
    </w:p>
    <w:p w14:paraId="18EF9F73">
      <w:pPr>
        <w:pStyle w:val="3"/>
        <w:spacing w:before="0" w:after="0" w:line="36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三、服务期限</w:t>
      </w:r>
    </w:p>
    <w:p w14:paraId="0BD54A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r>
        <w:rPr>
          <w:rFonts w:hint="eastAsia" w:ascii="仿宋" w:hAnsi="仿宋" w:eastAsia="仿宋" w:cs="仿宋"/>
          <w:b w:val="0"/>
          <w:bCs/>
          <w:sz w:val="28"/>
          <w:szCs w:val="28"/>
          <w:lang w:val="en-US" w:eastAsia="zh-CN"/>
        </w:rPr>
        <w:t>3年，每个年度财务审计报告在收到采购人通知后30个日历天内完成全财务审计报告编制工作并提交成果文件；每个季度财务审计报告在收到采购人通知后7个日历天内完成全财务审计报告编制工作并提交成果文件。</w:t>
      </w:r>
      <w:bookmarkEnd w:id="491"/>
    </w:p>
    <w:p w14:paraId="015D8F79">
      <w:pPr>
        <w:topLinePunct/>
        <w:spacing w:line="440" w:lineRule="exact"/>
        <w:jc w:val="center"/>
        <w:rPr>
          <w:rFonts w:ascii="Times New Roman" w:hAnsi="Times New Roman"/>
        </w:rPr>
      </w:pPr>
    </w:p>
    <w:p w14:paraId="0CFDC395">
      <w:pPr>
        <w:spacing w:line="400" w:lineRule="exact"/>
        <w:jc w:val="center"/>
        <w:rPr>
          <w:rFonts w:ascii="Times New Roman" w:hAnsi="Times New Roman"/>
        </w:rPr>
      </w:pPr>
      <w:r>
        <w:rPr>
          <w:rFonts w:ascii="Times New Roman" w:hAnsi="Times New Roman"/>
        </w:rPr>
        <w:br w:type="page"/>
      </w:r>
    </w:p>
    <w:bookmarkEnd w:id="451"/>
    <w:bookmarkEnd w:id="452"/>
    <w:bookmarkEnd w:id="453"/>
    <w:bookmarkEnd w:id="454"/>
    <w:p w14:paraId="6C53AF88">
      <w:pPr>
        <w:rPr>
          <w:color w:val="000000"/>
        </w:rPr>
      </w:pPr>
      <w:bookmarkStart w:id="492" w:name="_Toc501460784"/>
    </w:p>
    <w:p w14:paraId="00A954FC">
      <w:pPr>
        <w:rPr>
          <w:color w:val="000000"/>
        </w:rPr>
      </w:pPr>
    </w:p>
    <w:p w14:paraId="340A30DE">
      <w:pPr>
        <w:rPr>
          <w:color w:val="000000"/>
        </w:rPr>
      </w:pPr>
    </w:p>
    <w:p w14:paraId="73AD21B0">
      <w:pPr>
        <w:rPr>
          <w:color w:val="000000"/>
        </w:rPr>
      </w:pPr>
    </w:p>
    <w:p w14:paraId="79BE3786">
      <w:pPr>
        <w:rPr>
          <w:color w:val="000000"/>
        </w:rPr>
      </w:pPr>
    </w:p>
    <w:p w14:paraId="3C5E6F7E">
      <w:pPr>
        <w:rPr>
          <w:color w:val="000000"/>
        </w:rPr>
      </w:pPr>
    </w:p>
    <w:p w14:paraId="7D257BFF">
      <w:pPr>
        <w:rPr>
          <w:color w:val="000000"/>
        </w:rPr>
      </w:pPr>
    </w:p>
    <w:p w14:paraId="0BB3A432">
      <w:pPr>
        <w:rPr>
          <w:color w:val="000000"/>
        </w:rPr>
      </w:pPr>
    </w:p>
    <w:p w14:paraId="1013D427">
      <w:pPr>
        <w:pStyle w:val="2"/>
        <w:jc w:val="center"/>
        <w:rPr>
          <w:rFonts w:hint="eastAsia" w:ascii="仿宋" w:hAnsi="仿宋" w:eastAsia="仿宋" w:cs="仿宋"/>
        </w:rPr>
      </w:pPr>
      <w:bookmarkStart w:id="493" w:name="_Toc22185"/>
      <w:bookmarkStart w:id="494" w:name="_Toc20510"/>
      <w:bookmarkStart w:id="495" w:name="_Toc18995"/>
      <w:r>
        <w:rPr>
          <w:rFonts w:hint="eastAsia" w:ascii="仿宋" w:hAnsi="仿宋" w:eastAsia="仿宋" w:cs="仿宋"/>
        </w:rPr>
        <w:t>第六章  响应文件格式</w:t>
      </w:r>
      <w:bookmarkEnd w:id="492"/>
      <w:bookmarkEnd w:id="493"/>
      <w:bookmarkEnd w:id="494"/>
      <w:bookmarkEnd w:id="495"/>
    </w:p>
    <w:p w14:paraId="0F3D623B">
      <w:pPr>
        <w:spacing w:line="400" w:lineRule="exact"/>
        <w:rPr>
          <w:rFonts w:ascii="Times New Roman" w:hAnsi="Times New Roman"/>
        </w:rPr>
      </w:pPr>
    </w:p>
    <w:p w14:paraId="25B3F687">
      <w:pPr>
        <w:spacing w:line="400" w:lineRule="exact"/>
        <w:rPr>
          <w:rFonts w:ascii="Times New Roman" w:hAnsi="Times New Roman"/>
        </w:rPr>
      </w:pPr>
      <w:r>
        <w:rPr>
          <w:rFonts w:ascii="Times New Roman" w:hAnsi="Times New Roman"/>
        </w:rPr>
        <w:br w:type="page"/>
      </w:r>
    </w:p>
    <w:p w14:paraId="3B5B9F45">
      <w:pPr>
        <w:spacing w:line="400" w:lineRule="exact"/>
        <w:rPr>
          <w:rFonts w:ascii="Times New Roman" w:hAnsi="Times New Roman"/>
        </w:rPr>
      </w:pPr>
    </w:p>
    <w:p w14:paraId="0716F639">
      <w:pPr>
        <w:spacing w:line="400" w:lineRule="exact"/>
        <w:rPr>
          <w:rFonts w:ascii="Times New Roman" w:hAnsi="Times New Roman"/>
        </w:rPr>
      </w:pPr>
    </w:p>
    <w:p w14:paraId="7B5A7832">
      <w:pPr>
        <w:spacing w:line="400" w:lineRule="exact"/>
        <w:rPr>
          <w:rFonts w:ascii="Times New Roman" w:hAnsi="Times New Roman"/>
        </w:rPr>
      </w:pPr>
    </w:p>
    <w:p w14:paraId="4336AD93">
      <w:pPr>
        <w:jc w:val="center"/>
        <w:rPr>
          <w:rFonts w:hint="eastAsia" w:ascii="仿宋" w:hAnsi="仿宋" w:eastAsia="仿宋" w:cs="仿宋"/>
          <w:sz w:val="28"/>
          <w:szCs w:val="28"/>
          <w:u w:val="single"/>
        </w:rPr>
      </w:pPr>
    </w:p>
    <w:p w14:paraId="2A445039">
      <w:pPr>
        <w:jc w:val="center"/>
        <w:rPr>
          <w:rFonts w:hint="eastAsia" w:ascii="仿宋" w:hAnsi="仿宋" w:eastAsia="仿宋" w:cs="仿宋"/>
          <w:sz w:val="28"/>
          <w:szCs w:val="28"/>
          <w:u w:val="single"/>
        </w:rPr>
      </w:pPr>
    </w:p>
    <w:p w14:paraId="21F0056F">
      <w:pPr>
        <w:jc w:val="center"/>
        <w:rPr>
          <w:rFonts w:hint="eastAsia" w:ascii="仿宋" w:hAnsi="仿宋" w:eastAsia="仿宋" w:cs="仿宋"/>
          <w:sz w:val="28"/>
          <w:szCs w:val="28"/>
          <w:u w:val="single"/>
        </w:rPr>
      </w:pPr>
      <w:r>
        <w:rPr>
          <w:rFonts w:hint="eastAsia" w:ascii="仿宋" w:hAnsi="仿宋" w:eastAsia="仿宋" w:cs="仿宋"/>
          <w:sz w:val="28"/>
          <w:szCs w:val="28"/>
          <w:u w:val="single"/>
        </w:rPr>
        <w:t xml:space="preserve">                 （项目名称）</w:t>
      </w:r>
    </w:p>
    <w:p w14:paraId="3E0D1CA6">
      <w:pPr>
        <w:rPr>
          <w:rFonts w:hint="eastAsia" w:ascii="仿宋" w:hAnsi="仿宋" w:eastAsia="仿宋" w:cs="仿宋"/>
          <w:color w:val="000000"/>
          <w:sz w:val="20"/>
        </w:rPr>
      </w:pPr>
    </w:p>
    <w:p w14:paraId="1EA71F5D">
      <w:pPr>
        <w:rPr>
          <w:rFonts w:hint="eastAsia" w:ascii="仿宋" w:hAnsi="仿宋" w:eastAsia="仿宋" w:cs="仿宋"/>
          <w:color w:val="000000"/>
          <w:sz w:val="20"/>
        </w:rPr>
      </w:pPr>
    </w:p>
    <w:p w14:paraId="52414FCE">
      <w:pPr>
        <w:jc w:val="center"/>
        <w:rPr>
          <w:rFonts w:hint="eastAsia" w:ascii="仿宋" w:hAnsi="仿宋" w:eastAsia="仿宋" w:cs="仿宋"/>
          <w:color w:val="000000"/>
          <w:sz w:val="44"/>
        </w:rPr>
      </w:pPr>
      <w:r>
        <w:rPr>
          <w:rFonts w:hint="eastAsia" w:ascii="仿宋" w:hAnsi="仿宋" w:eastAsia="仿宋" w:cs="仿宋"/>
          <w:color w:val="000000"/>
          <w:sz w:val="44"/>
        </w:rPr>
        <w:t>响应文件</w:t>
      </w:r>
    </w:p>
    <w:p w14:paraId="7D0F0E18">
      <w:pPr>
        <w:jc w:val="center"/>
        <w:rPr>
          <w:rFonts w:hint="eastAsia" w:ascii="仿宋" w:hAnsi="仿宋" w:eastAsia="仿宋" w:cs="仿宋"/>
          <w:color w:val="000000"/>
          <w:sz w:val="44"/>
        </w:rPr>
      </w:pPr>
    </w:p>
    <w:p w14:paraId="67586E85">
      <w:pPr>
        <w:rPr>
          <w:rFonts w:hint="eastAsia" w:ascii="仿宋" w:hAnsi="仿宋" w:eastAsia="仿宋" w:cs="仿宋"/>
          <w:color w:val="000000"/>
          <w:sz w:val="28"/>
        </w:rPr>
      </w:pPr>
    </w:p>
    <w:p w14:paraId="5A7B4330">
      <w:pPr>
        <w:rPr>
          <w:rFonts w:hint="eastAsia" w:ascii="仿宋" w:hAnsi="仿宋" w:eastAsia="仿宋" w:cs="仿宋"/>
          <w:color w:val="000000"/>
          <w:sz w:val="28"/>
        </w:rPr>
      </w:pPr>
    </w:p>
    <w:p w14:paraId="28DDFCE5">
      <w:pPr>
        <w:rPr>
          <w:rFonts w:hint="eastAsia" w:ascii="仿宋" w:hAnsi="仿宋" w:eastAsia="仿宋" w:cs="仿宋"/>
          <w:color w:val="000000"/>
          <w:sz w:val="28"/>
        </w:rPr>
      </w:pPr>
    </w:p>
    <w:p w14:paraId="5B591230">
      <w:pPr>
        <w:rPr>
          <w:rFonts w:hint="eastAsia" w:ascii="仿宋" w:hAnsi="仿宋" w:eastAsia="仿宋" w:cs="仿宋"/>
          <w:color w:val="000000"/>
          <w:sz w:val="28"/>
        </w:rPr>
      </w:pPr>
    </w:p>
    <w:p w14:paraId="0FA4FA7F">
      <w:pPr>
        <w:rPr>
          <w:rFonts w:hint="eastAsia" w:ascii="仿宋" w:hAnsi="仿宋" w:eastAsia="仿宋" w:cs="仿宋"/>
          <w:color w:val="000000"/>
          <w:sz w:val="28"/>
        </w:rPr>
      </w:pPr>
    </w:p>
    <w:p w14:paraId="3F24D5BA">
      <w:pPr>
        <w:rPr>
          <w:rFonts w:hint="eastAsia" w:ascii="仿宋" w:hAnsi="仿宋" w:eastAsia="仿宋" w:cs="仿宋"/>
          <w:color w:val="000000"/>
          <w:sz w:val="28"/>
        </w:rPr>
      </w:pPr>
    </w:p>
    <w:p w14:paraId="328E8952">
      <w:pPr>
        <w:rPr>
          <w:rFonts w:hint="eastAsia" w:ascii="仿宋" w:hAnsi="仿宋" w:eastAsia="仿宋" w:cs="仿宋"/>
          <w:color w:val="000000"/>
          <w:sz w:val="28"/>
        </w:rPr>
      </w:pPr>
    </w:p>
    <w:p w14:paraId="3DF16487">
      <w:pPr>
        <w:rPr>
          <w:rFonts w:hint="eastAsia" w:ascii="仿宋" w:hAnsi="仿宋" w:eastAsia="仿宋" w:cs="仿宋"/>
          <w:color w:val="000000"/>
          <w:sz w:val="28"/>
        </w:rPr>
      </w:pPr>
    </w:p>
    <w:p w14:paraId="04CC56E8">
      <w:pPr>
        <w:rPr>
          <w:rFonts w:hint="eastAsia" w:ascii="仿宋" w:hAnsi="仿宋" w:eastAsia="仿宋" w:cs="仿宋"/>
          <w:color w:val="000000"/>
          <w:sz w:val="28"/>
        </w:rPr>
      </w:pPr>
    </w:p>
    <w:p w14:paraId="10B5CA9A">
      <w:pPr>
        <w:rPr>
          <w:rFonts w:hint="eastAsia" w:ascii="仿宋" w:hAnsi="仿宋" w:eastAsia="仿宋" w:cs="仿宋"/>
          <w:color w:val="000000"/>
          <w:sz w:val="28"/>
        </w:rPr>
      </w:pPr>
    </w:p>
    <w:p w14:paraId="56AEA2ED">
      <w:pPr>
        <w:rPr>
          <w:rFonts w:hint="eastAsia" w:ascii="仿宋" w:hAnsi="仿宋" w:eastAsia="仿宋" w:cs="仿宋"/>
          <w:color w:val="000000"/>
          <w:sz w:val="28"/>
        </w:rPr>
      </w:pPr>
    </w:p>
    <w:p w14:paraId="61AA937F">
      <w:pPr>
        <w:rPr>
          <w:rFonts w:hint="eastAsia" w:ascii="仿宋" w:hAnsi="仿宋" w:eastAsia="仿宋" w:cs="仿宋"/>
          <w:color w:val="000000"/>
          <w:sz w:val="28"/>
        </w:rPr>
      </w:pPr>
    </w:p>
    <w:p w14:paraId="46A948F2">
      <w:pPr>
        <w:rPr>
          <w:rFonts w:hint="eastAsia" w:ascii="仿宋" w:hAnsi="仿宋" w:eastAsia="仿宋" w:cs="仿宋"/>
          <w:color w:val="000000"/>
          <w:sz w:val="28"/>
        </w:rPr>
      </w:pPr>
    </w:p>
    <w:p w14:paraId="0EA26B5F">
      <w:pPr>
        <w:rPr>
          <w:rFonts w:hint="eastAsia" w:ascii="仿宋" w:hAnsi="仿宋" w:eastAsia="仿宋" w:cs="仿宋"/>
          <w:color w:val="000000"/>
          <w:sz w:val="28"/>
        </w:rPr>
      </w:pPr>
    </w:p>
    <w:p w14:paraId="6CDB957E">
      <w:pPr>
        <w:rPr>
          <w:rFonts w:hint="eastAsia" w:ascii="仿宋" w:hAnsi="仿宋" w:eastAsia="仿宋" w:cs="仿宋"/>
          <w:color w:val="000000"/>
          <w:sz w:val="28"/>
        </w:rPr>
      </w:pPr>
    </w:p>
    <w:p w14:paraId="6D0D091B">
      <w:pPr>
        <w:rPr>
          <w:rFonts w:hint="eastAsia" w:ascii="仿宋" w:hAnsi="仿宋" w:eastAsia="仿宋" w:cs="仿宋"/>
          <w:color w:val="000000"/>
          <w:sz w:val="28"/>
        </w:rPr>
      </w:pPr>
    </w:p>
    <w:p w14:paraId="1978C8BB">
      <w:pPr>
        <w:rPr>
          <w:rFonts w:hint="eastAsia" w:ascii="仿宋" w:hAnsi="仿宋" w:eastAsia="仿宋" w:cs="仿宋"/>
          <w:color w:val="000000"/>
          <w:sz w:val="28"/>
        </w:rPr>
      </w:pPr>
    </w:p>
    <w:p w14:paraId="67DEB927">
      <w:pPr>
        <w:spacing w:line="360" w:lineRule="auto"/>
        <w:rPr>
          <w:rFonts w:hint="eastAsia" w:ascii="仿宋" w:hAnsi="仿宋" w:eastAsia="仿宋" w:cs="仿宋"/>
          <w:color w:val="000000"/>
          <w:sz w:val="28"/>
        </w:rPr>
      </w:pPr>
    </w:p>
    <w:p w14:paraId="65984B19">
      <w:pPr>
        <w:spacing w:line="360" w:lineRule="auto"/>
        <w:ind w:firstLine="1120" w:firstLineChars="400"/>
        <w:rPr>
          <w:rFonts w:hint="eastAsia" w:ascii="仿宋" w:hAnsi="仿宋" w:eastAsia="仿宋" w:cs="仿宋"/>
          <w:color w:val="000000"/>
          <w:sz w:val="28"/>
          <w:u w:val="single"/>
        </w:rPr>
      </w:pPr>
      <w:r>
        <w:rPr>
          <w:rFonts w:hint="eastAsia" w:ascii="仿宋" w:hAnsi="仿宋" w:eastAsia="仿宋" w:cs="仿宋"/>
          <w:color w:val="000000"/>
          <w:sz w:val="28"/>
        </w:rPr>
        <w:t>供应商：</w:t>
      </w:r>
      <w:r>
        <w:rPr>
          <w:rFonts w:hint="eastAsia" w:ascii="仿宋" w:hAnsi="仿宋" w:eastAsia="仿宋" w:cs="仿宋"/>
          <w:color w:val="000000"/>
          <w:u w:val="single"/>
        </w:rPr>
        <w:t xml:space="preserve">                                           </w:t>
      </w:r>
    </w:p>
    <w:p w14:paraId="5AD651CA">
      <w:pPr>
        <w:jc w:val="center"/>
        <w:rPr>
          <w:rFonts w:hint="eastAsia" w:ascii="仿宋" w:hAnsi="仿宋" w:eastAsia="仿宋" w:cs="仿宋"/>
          <w:color w:val="000000"/>
          <w:sz w:val="28"/>
        </w:rPr>
      </w:pPr>
    </w:p>
    <w:p w14:paraId="78C4E070">
      <w:pPr>
        <w:spacing w:line="400" w:lineRule="exact"/>
        <w:jc w:val="center"/>
        <w:rPr>
          <w:rFonts w:hint="eastAsia" w:ascii="仿宋" w:hAnsi="仿宋" w:eastAsia="仿宋" w:cs="仿宋"/>
          <w:color w:val="000000"/>
        </w:rPr>
      </w:pPr>
      <w:r>
        <w:rPr>
          <w:rFonts w:hint="eastAsia" w:ascii="仿宋" w:hAnsi="仿宋" w:eastAsia="仿宋" w:cs="仿宋"/>
          <w:color w:val="000000"/>
          <w:u w:val="single"/>
        </w:rPr>
        <w:t xml:space="preserve">       </w:t>
      </w:r>
      <w:r>
        <w:rPr>
          <w:rFonts w:hint="eastAsia" w:ascii="仿宋" w:hAnsi="仿宋" w:eastAsia="仿宋" w:cs="仿宋"/>
          <w:color w:val="000000"/>
          <w:sz w:val="28"/>
        </w:rPr>
        <w:t>年</w:t>
      </w:r>
      <w:r>
        <w:rPr>
          <w:rFonts w:hint="eastAsia" w:ascii="仿宋" w:hAnsi="仿宋" w:eastAsia="仿宋" w:cs="仿宋"/>
          <w:color w:val="000000"/>
          <w:u w:val="single"/>
        </w:rPr>
        <w:t xml:space="preserve">       </w:t>
      </w:r>
      <w:r>
        <w:rPr>
          <w:rFonts w:hint="eastAsia" w:ascii="仿宋" w:hAnsi="仿宋" w:eastAsia="仿宋" w:cs="仿宋"/>
          <w:color w:val="000000"/>
          <w:sz w:val="28"/>
        </w:rPr>
        <w:t>月</w:t>
      </w:r>
      <w:r>
        <w:rPr>
          <w:rFonts w:hint="eastAsia" w:ascii="仿宋" w:hAnsi="仿宋" w:eastAsia="仿宋" w:cs="仿宋"/>
          <w:color w:val="000000"/>
          <w:u w:val="single"/>
        </w:rPr>
        <w:t xml:space="preserve">       </w:t>
      </w:r>
      <w:r>
        <w:rPr>
          <w:rFonts w:hint="eastAsia" w:ascii="仿宋" w:hAnsi="仿宋" w:eastAsia="仿宋" w:cs="仿宋"/>
          <w:color w:val="000000"/>
          <w:sz w:val="28"/>
        </w:rPr>
        <w:t>日</w:t>
      </w:r>
      <w:r>
        <w:rPr>
          <w:rFonts w:hint="eastAsia" w:ascii="仿宋" w:hAnsi="仿宋" w:eastAsia="仿宋" w:cs="仿宋"/>
          <w:color w:val="000000"/>
        </w:rPr>
        <w:br w:type="page"/>
      </w:r>
    </w:p>
    <w:p w14:paraId="74F877F6">
      <w:pPr>
        <w:pStyle w:val="3"/>
        <w:jc w:val="center"/>
        <w:rPr>
          <w:rFonts w:hint="eastAsia" w:ascii="仿宋" w:hAnsi="仿宋" w:eastAsia="仿宋" w:cs="仿宋"/>
          <w:color w:val="000000"/>
        </w:rPr>
      </w:pPr>
      <w:bookmarkStart w:id="496" w:name="_Toc3673"/>
      <w:bookmarkStart w:id="497" w:name="_Toc501460785"/>
      <w:r>
        <w:rPr>
          <w:rFonts w:hint="eastAsia" w:ascii="仿宋" w:hAnsi="仿宋" w:eastAsia="仿宋" w:cs="仿宋"/>
          <w:color w:val="000000"/>
        </w:rPr>
        <w:t>目  录</w:t>
      </w:r>
      <w:bookmarkEnd w:id="496"/>
      <w:bookmarkEnd w:id="497"/>
    </w:p>
    <w:p w14:paraId="7FFF46C5">
      <w:pPr>
        <w:spacing w:line="540" w:lineRule="exact"/>
        <w:rPr>
          <w:rFonts w:hint="eastAsia" w:ascii="仿宋" w:hAnsi="仿宋" w:eastAsia="仿宋" w:cs="仿宋"/>
          <w:color w:val="000000"/>
        </w:rPr>
      </w:pPr>
    </w:p>
    <w:p w14:paraId="609DD942">
      <w:pPr>
        <w:spacing w:line="540" w:lineRule="exact"/>
        <w:rPr>
          <w:rFonts w:hint="eastAsia" w:ascii="仿宋" w:hAnsi="仿宋" w:eastAsia="仿宋" w:cs="仿宋"/>
          <w:sz w:val="24"/>
          <w:szCs w:val="24"/>
        </w:rPr>
      </w:pPr>
      <w:bookmarkStart w:id="498" w:name="_Toc352691655"/>
      <w:bookmarkStart w:id="499" w:name="_Toc7039"/>
      <w:bookmarkStart w:id="500" w:name="_Toc369531691"/>
      <w:r>
        <w:rPr>
          <w:rFonts w:hint="eastAsia" w:ascii="仿宋" w:hAnsi="仿宋" w:eastAsia="仿宋" w:cs="仿宋"/>
          <w:sz w:val="24"/>
          <w:szCs w:val="24"/>
        </w:rPr>
        <w:t>一、响应函</w:t>
      </w:r>
    </w:p>
    <w:p w14:paraId="1E9A5328">
      <w:pPr>
        <w:spacing w:line="540" w:lineRule="exact"/>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000000"/>
          <w:sz w:val="24"/>
          <w:szCs w:val="24"/>
        </w:rPr>
        <w:t>法定代表人（单位负责人）身份证明</w:t>
      </w:r>
      <w:r>
        <w:rPr>
          <w:rFonts w:hint="eastAsia" w:ascii="仿宋" w:hAnsi="仿宋" w:eastAsia="仿宋" w:cs="仿宋"/>
          <w:color w:val="000000"/>
          <w:sz w:val="24"/>
          <w:szCs w:val="24"/>
          <w:lang w:val="en-US" w:eastAsia="zh-CN"/>
        </w:rPr>
        <w:t>/</w:t>
      </w:r>
      <w:r>
        <w:rPr>
          <w:rFonts w:hint="eastAsia" w:ascii="仿宋" w:hAnsi="仿宋" w:eastAsia="仿宋" w:cs="仿宋"/>
          <w:sz w:val="24"/>
          <w:szCs w:val="24"/>
        </w:rPr>
        <w:t>授权委托书</w:t>
      </w:r>
    </w:p>
    <w:p w14:paraId="653E5FF0">
      <w:pPr>
        <w:spacing w:line="540" w:lineRule="exact"/>
        <w:rPr>
          <w:rFonts w:hint="eastAsia" w:ascii="仿宋" w:hAnsi="仿宋" w:eastAsia="仿宋" w:cs="仿宋"/>
          <w:sz w:val="24"/>
          <w:szCs w:val="24"/>
        </w:rPr>
      </w:pPr>
      <w:r>
        <w:rPr>
          <w:rFonts w:hint="eastAsia" w:ascii="仿宋" w:hAnsi="仿宋" w:eastAsia="仿宋" w:cs="仿宋"/>
          <w:sz w:val="24"/>
          <w:szCs w:val="24"/>
        </w:rPr>
        <w:t>三、联合体协议书</w:t>
      </w:r>
    </w:p>
    <w:p w14:paraId="6833DF76">
      <w:pPr>
        <w:spacing w:line="540" w:lineRule="exact"/>
        <w:rPr>
          <w:rFonts w:hint="eastAsia" w:ascii="仿宋" w:hAnsi="仿宋" w:eastAsia="仿宋" w:cs="仿宋"/>
          <w:sz w:val="24"/>
          <w:szCs w:val="24"/>
        </w:rPr>
      </w:pPr>
      <w:r>
        <w:rPr>
          <w:rFonts w:hint="eastAsia" w:ascii="仿宋" w:hAnsi="仿宋" w:eastAsia="仿宋" w:cs="仿宋"/>
          <w:sz w:val="24"/>
          <w:szCs w:val="24"/>
        </w:rPr>
        <w:t>四、响应保证金</w:t>
      </w:r>
      <w:r>
        <w:rPr>
          <w:rFonts w:hint="eastAsia" w:ascii="仿宋" w:hAnsi="仿宋" w:eastAsia="仿宋" w:cs="仿宋"/>
          <w:sz w:val="24"/>
          <w:szCs w:val="24"/>
          <w:lang w:val="en-US" w:eastAsia="zh-CN"/>
        </w:rPr>
        <w:t>保函格式</w:t>
      </w:r>
    </w:p>
    <w:p w14:paraId="67750A1D">
      <w:pPr>
        <w:spacing w:line="540" w:lineRule="exact"/>
        <w:rPr>
          <w:rFonts w:hint="eastAsia" w:ascii="仿宋" w:hAnsi="仿宋" w:eastAsia="仿宋" w:cs="仿宋"/>
          <w:sz w:val="24"/>
          <w:szCs w:val="24"/>
        </w:rPr>
      </w:pPr>
      <w:r>
        <w:rPr>
          <w:rFonts w:hint="eastAsia" w:ascii="仿宋" w:hAnsi="仿宋" w:eastAsia="仿宋" w:cs="仿宋"/>
          <w:sz w:val="24"/>
          <w:szCs w:val="24"/>
        </w:rPr>
        <w:t>五、商务和技术偏差表</w:t>
      </w:r>
    </w:p>
    <w:p w14:paraId="6C370034">
      <w:pPr>
        <w:spacing w:line="540" w:lineRule="exact"/>
        <w:rPr>
          <w:rFonts w:hint="eastAsia" w:ascii="仿宋" w:hAnsi="仿宋" w:eastAsia="仿宋" w:cs="仿宋"/>
          <w:sz w:val="24"/>
          <w:szCs w:val="24"/>
        </w:rPr>
      </w:pPr>
      <w:r>
        <w:rPr>
          <w:rFonts w:hint="eastAsia" w:ascii="仿宋" w:hAnsi="仿宋" w:eastAsia="仿宋" w:cs="仿宋"/>
          <w:sz w:val="24"/>
          <w:szCs w:val="24"/>
        </w:rPr>
        <w:t>六、</w:t>
      </w:r>
      <w:r>
        <w:rPr>
          <w:rFonts w:ascii="Times New Roman" w:hAnsi="Times New Roman" w:eastAsia="仿宋"/>
          <w:sz w:val="24"/>
          <w:szCs w:val="24"/>
        </w:rPr>
        <w:t>分项报价表</w:t>
      </w:r>
    </w:p>
    <w:p w14:paraId="7D3A83C1">
      <w:pPr>
        <w:spacing w:line="540" w:lineRule="exact"/>
        <w:rPr>
          <w:rFonts w:hint="eastAsia" w:ascii="仿宋" w:hAnsi="仿宋" w:eastAsia="仿宋" w:cs="仿宋"/>
          <w:sz w:val="24"/>
          <w:szCs w:val="24"/>
        </w:rPr>
      </w:pPr>
      <w:r>
        <w:rPr>
          <w:rFonts w:hint="eastAsia" w:ascii="仿宋" w:hAnsi="仿宋" w:eastAsia="仿宋" w:cs="仿宋"/>
          <w:sz w:val="24"/>
          <w:szCs w:val="24"/>
        </w:rPr>
        <w:t>七、资格审查资料</w:t>
      </w:r>
    </w:p>
    <w:p w14:paraId="2A78CFEF">
      <w:pPr>
        <w:spacing w:line="540" w:lineRule="exact"/>
        <w:rPr>
          <w:rFonts w:hint="eastAsia" w:ascii="仿宋" w:hAnsi="仿宋" w:eastAsia="仿宋" w:cs="仿宋"/>
          <w:sz w:val="24"/>
          <w:szCs w:val="24"/>
        </w:rPr>
      </w:pPr>
      <w:r>
        <w:rPr>
          <w:rFonts w:hint="eastAsia" w:ascii="仿宋" w:hAnsi="仿宋" w:eastAsia="仿宋" w:cs="仿宋"/>
          <w:sz w:val="24"/>
          <w:szCs w:val="24"/>
        </w:rPr>
        <w:t>八、</w:t>
      </w:r>
      <w:r>
        <w:rPr>
          <w:rFonts w:hint="eastAsia" w:ascii="Times New Roman" w:hAnsi="Times New Roman" w:eastAsia="仿宋"/>
          <w:sz w:val="24"/>
          <w:szCs w:val="24"/>
          <w:lang w:val="en-US" w:eastAsia="zh-CN"/>
        </w:rPr>
        <w:t>服务方案</w:t>
      </w:r>
    </w:p>
    <w:p w14:paraId="0CA2ACE5">
      <w:pPr>
        <w:spacing w:line="540" w:lineRule="exact"/>
        <w:rPr>
          <w:rFonts w:hint="eastAsia" w:ascii="仿宋" w:hAnsi="仿宋" w:eastAsia="仿宋" w:cs="仿宋"/>
          <w:sz w:val="24"/>
          <w:szCs w:val="24"/>
        </w:rPr>
      </w:pPr>
      <w:r>
        <w:rPr>
          <w:rFonts w:hint="eastAsia" w:ascii="仿宋" w:hAnsi="仿宋" w:eastAsia="仿宋" w:cs="仿宋"/>
          <w:sz w:val="24"/>
          <w:szCs w:val="24"/>
        </w:rPr>
        <w:t>九、其他资料</w:t>
      </w:r>
    </w:p>
    <w:p w14:paraId="3169A4F4">
      <w:pPr>
        <w:spacing w:line="540" w:lineRule="exact"/>
        <w:rPr>
          <w:rFonts w:hint="eastAsia" w:ascii="仿宋" w:hAnsi="仿宋" w:eastAsia="仿宋" w:cs="仿宋"/>
          <w:sz w:val="20"/>
        </w:rPr>
      </w:pPr>
      <w:r>
        <w:rPr>
          <w:rFonts w:hint="eastAsia" w:ascii="仿宋" w:hAnsi="仿宋" w:eastAsia="仿宋" w:cs="仿宋"/>
        </w:rPr>
        <w:br w:type="page"/>
      </w:r>
    </w:p>
    <w:bookmarkEnd w:id="455"/>
    <w:bookmarkEnd w:id="456"/>
    <w:bookmarkEnd w:id="457"/>
    <w:bookmarkEnd w:id="458"/>
    <w:bookmarkEnd w:id="459"/>
    <w:bookmarkEnd w:id="460"/>
    <w:bookmarkEnd w:id="461"/>
    <w:bookmarkEnd w:id="462"/>
    <w:bookmarkEnd w:id="463"/>
    <w:bookmarkEnd w:id="498"/>
    <w:bookmarkEnd w:id="499"/>
    <w:bookmarkEnd w:id="500"/>
    <w:p w14:paraId="4FD90373">
      <w:pPr>
        <w:pStyle w:val="3"/>
        <w:jc w:val="center"/>
        <w:rPr>
          <w:rFonts w:hint="eastAsia" w:ascii="仿宋" w:hAnsi="仿宋" w:eastAsia="仿宋" w:cs="仿宋"/>
        </w:rPr>
      </w:pPr>
      <w:bookmarkStart w:id="501" w:name="_Toc501460786"/>
      <w:bookmarkStart w:id="502" w:name="_Toc1863"/>
      <w:bookmarkStart w:id="503" w:name="_Toc8283"/>
      <w:r>
        <w:rPr>
          <w:rFonts w:hint="eastAsia" w:ascii="仿宋" w:hAnsi="仿宋" w:eastAsia="仿宋" w:cs="仿宋"/>
        </w:rPr>
        <w:t>一、</w:t>
      </w:r>
      <w:bookmarkEnd w:id="501"/>
      <w:bookmarkStart w:id="504" w:name="_Toc369531692"/>
      <w:bookmarkStart w:id="505" w:name="_Toc6931"/>
      <w:bookmarkStart w:id="506" w:name="_Toc352691656"/>
      <w:r>
        <w:rPr>
          <w:rFonts w:hint="eastAsia" w:ascii="仿宋" w:hAnsi="仿宋" w:eastAsia="仿宋" w:cs="仿宋"/>
        </w:rPr>
        <w:t>响应函</w:t>
      </w:r>
      <w:bookmarkEnd w:id="502"/>
      <w:bookmarkEnd w:id="503"/>
    </w:p>
    <w:bookmarkEnd w:id="504"/>
    <w:bookmarkEnd w:id="505"/>
    <w:bookmarkEnd w:id="506"/>
    <w:p w14:paraId="10F3B0B5">
      <w:pPr>
        <w:spacing w:line="440" w:lineRule="exact"/>
        <w:rPr>
          <w:rFonts w:hint="eastAsia" w:ascii="仿宋" w:hAnsi="仿宋" w:eastAsia="仿宋" w:cs="仿宋"/>
          <w:sz w:val="24"/>
          <w:szCs w:val="24"/>
        </w:rPr>
      </w:pPr>
      <w:r>
        <w:rPr>
          <w:rFonts w:hint="eastAsia" w:ascii="仿宋" w:hAnsi="仿宋" w:eastAsia="仿宋" w:cs="仿宋"/>
          <w:sz w:val="24"/>
          <w:szCs w:val="24"/>
          <w:u w:val="single"/>
        </w:rPr>
        <w:t xml:space="preserve">                  （采购人名称）</w:t>
      </w:r>
      <w:r>
        <w:rPr>
          <w:rFonts w:hint="eastAsia" w:ascii="仿宋" w:hAnsi="仿宋" w:eastAsia="仿宋" w:cs="仿宋"/>
          <w:sz w:val="24"/>
          <w:szCs w:val="24"/>
        </w:rPr>
        <w:t>：</w:t>
      </w:r>
    </w:p>
    <w:p w14:paraId="0EEFA788">
      <w:pPr>
        <w:keepNext w:val="0"/>
        <w:keepLines w:val="0"/>
        <w:pageBreakBefore w:val="0"/>
        <w:widowControl w:val="0"/>
        <w:tabs>
          <w:tab w:val="left" w:pos="7560"/>
        </w:tabs>
        <w:kinsoku/>
        <w:wordWrap/>
        <w:overflowPunct/>
        <w:topLinePunct w:val="0"/>
        <w:autoSpaceDE/>
        <w:autoSpaceDN/>
        <w:bidi w:val="0"/>
        <w:adjustRightInd w:val="0"/>
        <w:snapToGrid w:val="0"/>
        <w:spacing w:before="48" w:beforeLines="20" w:after="48" w:afterLines="20" w:line="440" w:lineRule="exact"/>
        <w:ind w:left="900" w:leftChars="200" w:hanging="480" w:hangingChars="200"/>
        <w:jc w:val="left"/>
        <w:textAlignment w:val="auto"/>
        <w:rPr>
          <w:rFonts w:hint="eastAsia" w:ascii="仿宋" w:hAnsi="仿宋" w:eastAsia="仿宋" w:cs="仿宋"/>
          <w:sz w:val="24"/>
          <w:szCs w:val="24"/>
        </w:rPr>
      </w:pPr>
      <w:r>
        <w:rPr>
          <w:rFonts w:hint="eastAsia" w:ascii="仿宋" w:hAnsi="仿宋" w:eastAsia="仿宋" w:cs="仿宋"/>
          <w:sz w:val="24"/>
          <w:szCs w:val="24"/>
        </w:rPr>
        <w:t>1．我方已仔细研究</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采购</w:t>
      </w:r>
      <w:r>
        <w:rPr>
          <w:rFonts w:hint="eastAsia" w:ascii="仿宋" w:hAnsi="仿宋" w:eastAsia="仿宋" w:cs="仿宋"/>
          <w:sz w:val="24"/>
          <w:szCs w:val="24"/>
          <w:u w:val="single"/>
        </w:rPr>
        <w:t>项目名称）</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采购包</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r>
        <w:rPr>
          <w:rFonts w:hint="eastAsia" w:ascii="仿宋" w:hAnsi="仿宋" w:eastAsia="仿宋" w:cs="仿宋"/>
          <w:sz w:val="24"/>
          <w:szCs w:val="24"/>
          <w:lang w:val="en-US" w:eastAsia="zh-CN"/>
        </w:rPr>
        <w:t>的全部内容</w:t>
      </w:r>
      <w:r>
        <w:rPr>
          <w:rFonts w:hint="eastAsia" w:ascii="仿宋" w:hAnsi="仿宋" w:eastAsia="仿宋" w:cs="仿宋"/>
          <w:sz w:val="24"/>
          <w:szCs w:val="24"/>
        </w:rPr>
        <w:t>，</w:t>
      </w:r>
    </w:p>
    <w:p w14:paraId="1CD636FC">
      <w:pPr>
        <w:keepNext w:val="0"/>
        <w:keepLines w:val="0"/>
        <w:pageBreakBefore w:val="0"/>
        <w:widowControl w:val="0"/>
        <w:tabs>
          <w:tab w:val="left" w:pos="7560"/>
        </w:tabs>
        <w:kinsoku/>
        <w:wordWrap/>
        <w:overflowPunct/>
        <w:topLinePunct w:val="0"/>
        <w:autoSpaceDE/>
        <w:autoSpaceDN/>
        <w:bidi w:val="0"/>
        <w:adjustRightInd w:val="0"/>
        <w:snapToGrid w:val="0"/>
        <w:spacing w:before="48" w:beforeLines="20" w:after="48" w:afterLines="20" w:line="440" w:lineRule="exact"/>
        <w:ind w:left="900" w:leftChars="200" w:hanging="480" w:hangingChars="200"/>
        <w:jc w:val="left"/>
        <w:textAlignment w:val="auto"/>
        <w:rPr>
          <w:rFonts w:hint="eastAsia" w:ascii="仿宋" w:hAnsi="仿宋" w:eastAsia="仿宋" w:cs="仿宋"/>
          <w:sz w:val="24"/>
          <w:szCs w:val="24"/>
        </w:rPr>
      </w:pPr>
      <w:r>
        <w:rPr>
          <w:rFonts w:hint="eastAsia" w:ascii="仿宋" w:hAnsi="仿宋" w:eastAsia="仿宋" w:cs="仿宋"/>
          <w:sz w:val="24"/>
          <w:szCs w:val="24"/>
        </w:rPr>
        <w:t>□</w:t>
      </w:r>
      <w:r>
        <w:rPr>
          <w:rFonts w:hint="default" w:ascii="仿宋" w:hAnsi="仿宋" w:eastAsia="仿宋" w:cs="仿宋"/>
          <w:sz w:val="24"/>
          <w:szCs w:val="24"/>
        </w:rPr>
        <w:t>☑</w:t>
      </w:r>
      <w:r>
        <w:rPr>
          <w:rFonts w:hint="eastAsia" w:ascii="仿宋" w:hAnsi="仿宋" w:eastAsia="仿宋" w:cs="仿宋"/>
          <w:sz w:val="24"/>
          <w:szCs w:val="24"/>
        </w:rPr>
        <w:t>愿意以人民币（大写）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）的总报价（含税），</w:t>
      </w:r>
    </w:p>
    <w:p w14:paraId="567ACE0F">
      <w:pPr>
        <w:keepNext w:val="0"/>
        <w:keepLines w:val="0"/>
        <w:pageBreakBefore w:val="0"/>
        <w:widowControl w:val="0"/>
        <w:kinsoku/>
        <w:wordWrap/>
        <w:overflowPunct/>
        <w:topLinePunct w:val="0"/>
        <w:autoSpaceDE/>
        <w:autoSpaceDN/>
        <w:bidi w:val="0"/>
        <w:adjustRightInd/>
        <w:snapToGrid/>
        <w:spacing w:line="440" w:lineRule="atLeast"/>
        <w:ind w:firstLine="405"/>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质量要求</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服务标准：</w:t>
      </w:r>
      <w:r>
        <w:rPr>
          <w:rFonts w:hint="eastAsia" w:ascii="仿宋" w:hAnsi="仿宋" w:eastAsia="仿宋" w:cs="仿宋"/>
          <w:color w:val="000000"/>
          <w:sz w:val="24"/>
          <w:szCs w:val="24"/>
          <w:u w:val="single"/>
          <w:lang w:val="en-US" w:eastAsia="zh-CN"/>
        </w:rPr>
        <w:t>响应询比文件要求</w:t>
      </w:r>
      <w:r>
        <w:rPr>
          <w:rFonts w:hint="eastAsia" w:ascii="仿宋" w:hAnsi="仿宋" w:eastAsia="仿宋" w:cs="仿宋"/>
          <w:color w:val="000000"/>
          <w:sz w:val="24"/>
          <w:szCs w:val="24"/>
          <w:lang w:val="en-US" w:eastAsia="zh-CN"/>
        </w:rPr>
        <w:t>，</w:t>
      </w:r>
      <w:r>
        <w:rPr>
          <w:rFonts w:hint="eastAsia" w:ascii="仿宋" w:hAnsi="仿宋" w:eastAsia="仿宋" w:cs="仿宋"/>
          <w:sz w:val="24"/>
          <w:szCs w:val="24"/>
        </w:rPr>
        <w:t>服务期限：</w:t>
      </w:r>
      <w:r>
        <w:rPr>
          <w:rFonts w:hint="eastAsia" w:ascii="仿宋" w:hAnsi="仿宋" w:eastAsia="仿宋" w:cs="仿宋"/>
          <w:color w:val="000000"/>
          <w:sz w:val="24"/>
          <w:szCs w:val="24"/>
          <w:u w:val="single"/>
          <w:lang w:val="en-US" w:eastAsia="zh-CN"/>
        </w:rPr>
        <w:t>响应询比文件要求</w:t>
      </w:r>
      <w:r>
        <w:rPr>
          <w:rFonts w:hint="eastAsia" w:ascii="仿宋" w:hAnsi="仿宋" w:eastAsia="仿宋" w:cs="仿宋"/>
          <w:sz w:val="24"/>
          <w:szCs w:val="24"/>
        </w:rPr>
        <w:t>，按合同约定完成</w:t>
      </w:r>
      <w:r>
        <w:rPr>
          <w:rFonts w:hint="eastAsia" w:ascii="仿宋" w:hAnsi="仿宋" w:eastAsia="仿宋" w:cs="仿宋"/>
          <w:sz w:val="24"/>
          <w:szCs w:val="24"/>
          <w:u w:val="single"/>
          <w:lang w:val="en-US" w:eastAsia="zh-CN"/>
        </w:rPr>
        <w:t xml:space="preserve">            （采购</w:t>
      </w:r>
      <w:r>
        <w:rPr>
          <w:rFonts w:hint="eastAsia" w:ascii="仿宋" w:hAnsi="仿宋" w:eastAsia="仿宋" w:cs="仿宋"/>
          <w:sz w:val="24"/>
          <w:szCs w:val="24"/>
          <w:u w:val="single"/>
        </w:rPr>
        <w:t>项目名称</w:t>
      </w:r>
      <w:r>
        <w:rPr>
          <w:rFonts w:hint="eastAsia" w:ascii="仿宋" w:hAnsi="仿宋" w:eastAsia="仿宋" w:cs="仿宋"/>
          <w:sz w:val="24"/>
          <w:szCs w:val="24"/>
          <w:u w:val="single"/>
          <w:lang w:val="en-US" w:eastAsia="zh-CN"/>
        </w:rPr>
        <w:t>）</w:t>
      </w:r>
      <w:r>
        <w:rPr>
          <w:rFonts w:hint="eastAsia" w:ascii="仿宋" w:hAnsi="仿宋" w:eastAsia="仿宋" w:cs="仿宋"/>
          <w:sz w:val="24"/>
          <w:szCs w:val="24"/>
        </w:rPr>
        <w:t>工作。</w:t>
      </w:r>
    </w:p>
    <w:p w14:paraId="7A901BB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我方的响应文件包括下列内容：</w:t>
      </w:r>
    </w:p>
    <w:p w14:paraId="7A051CCB">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（1）响应函；</w:t>
      </w:r>
    </w:p>
    <w:p w14:paraId="198EF1D1">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（2）法定代表人（单位负责人）身份证明或授权委托书；</w:t>
      </w:r>
    </w:p>
    <w:p w14:paraId="1E264372">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（3）联合体协议书（如有）；</w:t>
      </w:r>
    </w:p>
    <w:p w14:paraId="6F9EE548">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（4）响应保证金</w:t>
      </w:r>
      <w:r>
        <w:rPr>
          <w:rFonts w:hint="eastAsia" w:ascii="仿宋" w:hAnsi="仿宋" w:eastAsia="仿宋" w:cs="仿宋"/>
          <w:sz w:val="24"/>
          <w:szCs w:val="24"/>
          <w:lang w:val="en-US" w:eastAsia="zh-CN"/>
        </w:rPr>
        <w:t>保函格式</w:t>
      </w:r>
      <w:r>
        <w:rPr>
          <w:rFonts w:hint="eastAsia" w:ascii="仿宋" w:hAnsi="仿宋" w:eastAsia="仿宋" w:cs="仿宋"/>
          <w:sz w:val="24"/>
          <w:szCs w:val="24"/>
        </w:rPr>
        <w:t>；</w:t>
      </w:r>
    </w:p>
    <w:p w14:paraId="764825B2">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（5）商务和技术偏差表；</w:t>
      </w:r>
    </w:p>
    <w:p w14:paraId="25A6D306">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（6）</w:t>
      </w:r>
      <w:r>
        <w:rPr>
          <w:rFonts w:ascii="Times New Roman" w:hAnsi="Times New Roman" w:eastAsia="仿宋"/>
          <w:sz w:val="24"/>
          <w:szCs w:val="24"/>
        </w:rPr>
        <w:t>分项报价表</w:t>
      </w:r>
      <w:r>
        <w:rPr>
          <w:rFonts w:hint="eastAsia" w:ascii="仿宋" w:hAnsi="仿宋" w:eastAsia="仿宋" w:cs="仿宋"/>
          <w:sz w:val="24"/>
          <w:szCs w:val="24"/>
        </w:rPr>
        <w:t>；</w:t>
      </w:r>
    </w:p>
    <w:p w14:paraId="5BFAE3D8">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（7）资格审查资料；</w:t>
      </w:r>
    </w:p>
    <w:p w14:paraId="4BDB041D">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（8）</w:t>
      </w:r>
      <w:r>
        <w:rPr>
          <w:rFonts w:hint="eastAsia" w:ascii="Times New Roman" w:hAnsi="Times New Roman" w:eastAsia="仿宋"/>
          <w:sz w:val="24"/>
          <w:szCs w:val="24"/>
          <w:lang w:val="en-US" w:eastAsia="zh-CN"/>
        </w:rPr>
        <w:t>服务方案</w:t>
      </w:r>
      <w:r>
        <w:rPr>
          <w:rFonts w:hint="eastAsia" w:ascii="仿宋" w:hAnsi="仿宋" w:eastAsia="仿宋" w:cs="仿宋"/>
          <w:sz w:val="24"/>
          <w:szCs w:val="24"/>
        </w:rPr>
        <w:t>；</w:t>
      </w:r>
    </w:p>
    <w:p w14:paraId="46E654EA">
      <w:pPr>
        <w:spacing w:line="400" w:lineRule="exact"/>
        <w:ind w:firstLine="405"/>
        <w:rPr>
          <w:rFonts w:hint="default" w:ascii="仿宋" w:hAnsi="仿宋" w:eastAsia="仿宋" w:cs="仿宋"/>
          <w:color w:val="000000"/>
          <w:sz w:val="24"/>
          <w:szCs w:val="24"/>
          <w:lang w:val="en-US"/>
        </w:rPr>
      </w:pPr>
      <w:r>
        <w:rPr>
          <w:rFonts w:ascii="Times New Roman" w:hAnsi="Times New Roman" w:eastAsia="仿宋"/>
          <w:sz w:val="24"/>
          <w:szCs w:val="24"/>
        </w:rPr>
        <w:t>（9）</w:t>
      </w:r>
      <w:r>
        <w:rPr>
          <w:rFonts w:hint="eastAsia" w:ascii="Times New Roman" w:hAnsi="Times New Roman" w:eastAsia="仿宋"/>
          <w:sz w:val="24"/>
          <w:szCs w:val="24"/>
          <w:lang w:val="en-US" w:eastAsia="zh-CN"/>
        </w:rPr>
        <w:t>其它资料。</w:t>
      </w:r>
    </w:p>
    <w:p w14:paraId="4F32627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响应文件的上述组成部分如存在内容不一致的，以响应函为准。</w:t>
      </w:r>
    </w:p>
    <w:p w14:paraId="453549A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．我方承诺除</w:t>
      </w:r>
      <w:r>
        <w:rPr>
          <w:rFonts w:hint="eastAsia" w:ascii="仿宋" w:hAnsi="仿宋" w:eastAsia="仿宋" w:cs="仿宋"/>
          <w:color w:val="000000"/>
          <w:sz w:val="24"/>
          <w:szCs w:val="24"/>
        </w:rPr>
        <w:t>商务和技术</w:t>
      </w:r>
      <w:r>
        <w:rPr>
          <w:rFonts w:hint="eastAsia" w:ascii="仿宋" w:hAnsi="仿宋" w:eastAsia="仿宋" w:cs="仿宋"/>
          <w:sz w:val="24"/>
          <w:szCs w:val="24"/>
        </w:rPr>
        <w:t>偏差表列出的偏差外，我方响应采购文件的全部要求。</w:t>
      </w:r>
    </w:p>
    <w:p w14:paraId="06A4955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．我方承诺在采购文件规定的响应文件有效期内不撤销响应文件。</w:t>
      </w:r>
    </w:p>
    <w:p w14:paraId="089B7E9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．如我方成交，我方承诺：</w:t>
      </w:r>
    </w:p>
    <w:p w14:paraId="6542853A">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（1）在收到成交通知书后，在成交通知书规定的期限内与你方签订合同；</w:t>
      </w:r>
    </w:p>
    <w:p w14:paraId="6A70B381">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（2）在签订合同时不向你方提出附加条件；</w:t>
      </w:r>
    </w:p>
    <w:p w14:paraId="641F5AD7">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（3）按照采购文件要求递交履约保证金；</w:t>
      </w:r>
      <w:bookmarkStart w:id="507" w:name="_Toc369531694"/>
      <w:bookmarkStart w:id="508" w:name="_Toc352691658"/>
      <w:bookmarkStart w:id="509" w:name="_Toc1187"/>
    </w:p>
    <w:p w14:paraId="04D7AB19">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（4</w:t>
      </w:r>
      <w:bookmarkEnd w:id="507"/>
      <w:bookmarkEnd w:id="508"/>
      <w:bookmarkEnd w:id="509"/>
      <w:r>
        <w:rPr>
          <w:rFonts w:hint="eastAsia" w:ascii="仿宋" w:hAnsi="仿宋" w:eastAsia="仿宋" w:cs="仿宋"/>
          <w:sz w:val="24"/>
          <w:szCs w:val="24"/>
        </w:rPr>
        <w:t>）在合同约定的期限内完成合同规定的全部义务。</w:t>
      </w:r>
    </w:p>
    <w:p w14:paraId="15EF434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．我方在此声明，所递交的响应文件及有关资料内容完整、真实和准确，且不存在第一章“</w:t>
      </w:r>
      <w:r>
        <w:rPr>
          <w:rFonts w:hint="eastAsia" w:ascii="仿宋" w:hAnsi="仿宋" w:eastAsia="仿宋" w:cs="仿宋"/>
          <w:sz w:val="24"/>
          <w:szCs w:val="24"/>
          <w:lang w:val="en-US" w:eastAsia="zh-CN"/>
        </w:rPr>
        <w:t>询比</w:t>
      </w:r>
      <w:r>
        <w:rPr>
          <w:rFonts w:hint="eastAsia" w:ascii="仿宋" w:hAnsi="仿宋" w:eastAsia="仿宋" w:cs="仿宋"/>
          <w:sz w:val="24"/>
          <w:szCs w:val="24"/>
        </w:rPr>
        <w:t>采购公告”中规定的供应商不得存在的情形。</w:t>
      </w:r>
    </w:p>
    <w:p w14:paraId="53076A0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（其他补充说明）</w:t>
      </w:r>
      <w:r>
        <w:rPr>
          <w:rFonts w:hint="eastAsia" w:ascii="仿宋" w:hAnsi="仿宋" w:eastAsia="仿宋" w:cs="仿宋"/>
          <w:sz w:val="24"/>
          <w:szCs w:val="24"/>
        </w:rPr>
        <w:t>。</w:t>
      </w:r>
    </w:p>
    <w:p w14:paraId="5813ED66">
      <w:pPr>
        <w:spacing w:line="440" w:lineRule="exact"/>
        <w:ind w:firstLine="480" w:firstLineChars="200"/>
        <w:rPr>
          <w:rFonts w:hint="eastAsia" w:ascii="仿宋" w:hAnsi="仿宋" w:eastAsia="仿宋" w:cs="仿宋"/>
          <w:sz w:val="24"/>
          <w:szCs w:val="24"/>
        </w:rPr>
      </w:pPr>
    </w:p>
    <w:p w14:paraId="7E10048C">
      <w:pPr>
        <w:spacing w:line="440" w:lineRule="exact"/>
        <w:ind w:firstLine="1440" w:firstLineChars="600"/>
        <w:jc w:val="right"/>
        <w:rPr>
          <w:rFonts w:hint="eastAsia" w:ascii="仿宋" w:hAnsi="仿宋" w:eastAsia="仿宋" w:cs="仿宋"/>
          <w:sz w:val="24"/>
          <w:szCs w:val="24"/>
        </w:rPr>
      </w:pPr>
      <w:bookmarkStart w:id="510" w:name="_Toc369531696"/>
      <w:bookmarkEnd w:id="510"/>
      <w:bookmarkStart w:id="511" w:name="_Toc16824"/>
      <w:bookmarkEnd w:id="511"/>
      <w:bookmarkStart w:id="512" w:name="_Toc352691659"/>
      <w:bookmarkEnd w:id="512"/>
      <w:bookmarkStart w:id="513" w:name="_Toc16568"/>
      <w:bookmarkEnd w:id="513"/>
      <w:bookmarkStart w:id="514" w:name="_Toc369531695"/>
      <w:bookmarkEnd w:id="514"/>
      <w:bookmarkStart w:id="515" w:name="_Toc352691660"/>
      <w:bookmarkEnd w:id="515"/>
      <w:r>
        <w:rPr>
          <w:rFonts w:hint="eastAsia" w:ascii="仿宋" w:hAnsi="仿宋" w:eastAsia="仿宋" w:cs="仿宋"/>
          <w:sz w:val="24"/>
          <w:szCs w:val="24"/>
        </w:rPr>
        <w:t>供 应 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（盖单位章）</w:t>
      </w:r>
    </w:p>
    <w:p w14:paraId="02CACD87">
      <w:pPr>
        <w:spacing w:line="440" w:lineRule="exact"/>
        <w:jc w:val="right"/>
        <w:rPr>
          <w:rFonts w:hint="eastAsia" w:ascii="仿宋" w:hAnsi="仿宋" w:eastAsia="仿宋" w:cs="仿宋"/>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法定代表人（单位负责人）</w:t>
      </w:r>
      <w:r>
        <w:rPr>
          <w:rFonts w:hint="eastAsia" w:ascii="仿宋" w:hAnsi="仿宋" w:eastAsia="仿宋" w:cs="仿宋"/>
          <w:sz w:val="24"/>
          <w:szCs w:val="24"/>
        </w:rPr>
        <w:t>或其委托代理人：</w:t>
      </w:r>
      <w:r>
        <w:rPr>
          <w:rFonts w:hint="eastAsia" w:ascii="仿宋" w:hAnsi="仿宋" w:eastAsia="仿宋" w:cs="仿宋"/>
          <w:sz w:val="24"/>
          <w:szCs w:val="24"/>
          <w:u w:val="single"/>
        </w:rPr>
        <w:t xml:space="preserve">         （签字）</w:t>
      </w:r>
    </w:p>
    <w:p w14:paraId="2C49BB10">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5D7AC0E5">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    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14:paraId="2B88BEAD">
      <w:pPr>
        <w:spacing w:line="440" w:lineRule="exact"/>
        <w:ind w:firstLine="5400" w:firstLineChars="2250"/>
        <w:jc w:val="right"/>
        <w:rPr>
          <w:rFonts w:hint="eastAsia" w:ascii="仿宋" w:hAnsi="仿宋" w:eastAsia="仿宋" w:cs="仿宋"/>
          <w:sz w:val="24"/>
          <w:szCs w:val="24"/>
        </w:rPr>
      </w:pPr>
      <w:r>
        <w:rPr>
          <w:rFonts w:hint="eastAsia" w:ascii="仿宋" w:hAnsi="仿宋" w:eastAsia="仿宋" w:cs="仿宋"/>
          <w:sz w:val="24"/>
          <w:szCs w:val="24"/>
          <w:u w:val="non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rPr>
        <w:t>日</w:t>
      </w:r>
    </w:p>
    <w:p w14:paraId="6DAF89F1">
      <w:pPr>
        <w:spacing w:line="440" w:lineRule="exact"/>
        <w:rPr>
          <w:rFonts w:hint="eastAsia" w:ascii="仿宋" w:hAnsi="仿宋" w:eastAsia="仿宋" w:cs="仿宋"/>
          <w:sz w:val="24"/>
          <w:szCs w:val="24"/>
        </w:rPr>
      </w:pPr>
    </w:p>
    <w:p w14:paraId="55A5FFEC">
      <w:pPr>
        <w:spacing w:line="440" w:lineRule="exact"/>
        <w:rPr>
          <w:rFonts w:hint="eastAsia" w:ascii="仿宋" w:hAnsi="仿宋" w:eastAsia="仿宋" w:cs="仿宋"/>
          <w:szCs w:val="21"/>
        </w:rPr>
      </w:pPr>
    </w:p>
    <w:p w14:paraId="186AB64C">
      <w:pPr>
        <w:spacing w:line="440" w:lineRule="exact"/>
        <w:rPr>
          <w:rFonts w:hint="eastAsia" w:ascii="仿宋" w:hAnsi="仿宋" w:eastAsia="仿宋" w:cs="仿宋"/>
          <w:color w:val="000000"/>
          <w:sz w:val="20"/>
        </w:rPr>
      </w:pPr>
      <w:bookmarkStart w:id="516" w:name="_Toc384308375"/>
      <w:bookmarkStart w:id="517" w:name="_Toc17960"/>
      <w:bookmarkStart w:id="518" w:name="_Toc247514246"/>
      <w:bookmarkStart w:id="519" w:name="_Toc369531697"/>
      <w:bookmarkStart w:id="520" w:name="_Toc300835209"/>
      <w:bookmarkStart w:id="521" w:name="_Toc152042576"/>
      <w:bookmarkStart w:id="522" w:name="_Toc361508752"/>
      <w:bookmarkStart w:id="523" w:name="_Toc144974856"/>
      <w:bookmarkStart w:id="524" w:name="_Toc152045787"/>
      <w:bookmarkStart w:id="525" w:name="_Toc352691661"/>
      <w:bookmarkStart w:id="526" w:name="_Toc247527827"/>
    </w:p>
    <w:p w14:paraId="4EC7AE2F">
      <w:pPr>
        <w:spacing w:line="440" w:lineRule="exact"/>
        <w:rPr>
          <w:rFonts w:hint="eastAsia" w:ascii="仿宋" w:hAnsi="仿宋" w:eastAsia="仿宋" w:cs="仿宋"/>
          <w:sz w:val="20"/>
        </w:rPr>
      </w:pPr>
      <w:r>
        <w:rPr>
          <w:rFonts w:hint="eastAsia" w:ascii="仿宋" w:hAnsi="仿宋" w:eastAsia="仿宋" w:cs="仿宋"/>
          <w:szCs w:val="21"/>
        </w:rPr>
        <w:br w:type="page"/>
      </w:r>
    </w:p>
    <w:bookmarkEnd w:id="516"/>
    <w:bookmarkEnd w:id="517"/>
    <w:bookmarkEnd w:id="518"/>
    <w:bookmarkEnd w:id="519"/>
    <w:bookmarkEnd w:id="520"/>
    <w:bookmarkEnd w:id="521"/>
    <w:bookmarkEnd w:id="522"/>
    <w:bookmarkEnd w:id="523"/>
    <w:bookmarkEnd w:id="524"/>
    <w:bookmarkEnd w:id="525"/>
    <w:bookmarkEnd w:id="526"/>
    <w:p w14:paraId="1BAA1DC9">
      <w:pPr>
        <w:pStyle w:val="3"/>
        <w:jc w:val="center"/>
        <w:rPr>
          <w:rFonts w:hint="eastAsia" w:ascii="仿宋" w:hAnsi="仿宋" w:eastAsia="仿宋" w:cs="仿宋"/>
          <w:color w:val="000000"/>
        </w:rPr>
      </w:pPr>
      <w:bookmarkStart w:id="527" w:name="_Toc14208"/>
      <w:bookmarkStart w:id="528" w:name="_Toc32176"/>
      <w:bookmarkStart w:id="529" w:name="_Toc23871"/>
      <w:bookmarkStart w:id="530" w:name="_Toc501460788"/>
      <w:r>
        <w:rPr>
          <w:rFonts w:hint="eastAsia" w:ascii="仿宋" w:hAnsi="仿宋" w:eastAsia="仿宋" w:cs="仿宋"/>
          <w:color w:val="000000"/>
        </w:rPr>
        <w:t>二、法定代表人（单位负责人）身份证明</w:t>
      </w:r>
      <w:bookmarkEnd w:id="527"/>
      <w:bookmarkEnd w:id="528"/>
      <w:bookmarkEnd w:id="529"/>
    </w:p>
    <w:p w14:paraId="106D4208">
      <w:pPr>
        <w:spacing w:line="440" w:lineRule="exact"/>
        <w:rPr>
          <w:rFonts w:hint="eastAsia" w:ascii="仿宋" w:hAnsi="仿宋" w:eastAsia="仿宋" w:cs="仿宋"/>
          <w:color w:val="000000"/>
          <w:sz w:val="20"/>
        </w:rPr>
      </w:pPr>
    </w:p>
    <w:p w14:paraId="43BF8869">
      <w:pPr>
        <w:spacing w:line="440" w:lineRule="exact"/>
        <w:rPr>
          <w:rFonts w:hint="eastAsia" w:ascii="仿宋" w:hAnsi="仿宋" w:eastAsia="仿宋" w:cs="仿宋"/>
          <w:color w:val="000000"/>
        </w:rPr>
      </w:pPr>
    </w:p>
    <w:p w14:paraId="739E9619">
      <w:pPr>
        <w:spacing w:line="440" w:lineRule="exact"/>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lang w:val="en-US" w:eastAsia="zh-CN"/>
        </w:rPr>
        <w:t>供应商</w:t>
      </w:r>
      <w:r>
        <w:rPr>
          <w:rFonts w:hint="eastAsia" w:ascii="仿宋" w:hAnsi="仿宋" w:eastAsia="仿宋" w:cs="仿宋"/>
          <w:color w:val="000000"/>
          <w:sz w:val="24"/>
          <w:szCs w:val="24"/>
        </w:rPr>
        <w:t>名称：</w:t>
      </w:r>
      <w:r>
        <w:rPr>
          <w:rFonts w:hint="eastAsia" w:ascii="仿宋" w:hAnsi="仿宋" w:eastAsia="仿宋" w:cs="仿宋"/>
          <w:color w:val="000000"/>
          <w:sz w:val="24"/>
          <w:szCs w:val="24"/>
          <w:u w:val="single"/>
          <w:lang w:val="en-US" w:eastAsia="zh-CN"/>
        </w:rPr>
        <w:t xml:space="preserve">                            </w:t>
      </w:r>
    </w:p>
    <w:p w14:paraId="48494948">
      <w:pPr>
        <w:spacing w:line="440" w:lineRule="exact"/>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性别：</w:t>
      </w:r>
      <w:bookmarkStart w:id="531" w:name="_Toc369531698"/>
      <w:bookmarkStart w:id="532" w:name="_Toc352691662"/>
      <w:bookmarkStart w:id="533" w:name="_Toc27897"/>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bookmarkEnd w:id="531"/>
      <w:bookmarkEnd w:id="532"/>
      <w:bookmarkEnd w:id="533"/>
      <w:r>
        <w:rPr>
          <w:rFonts w:hint="eastAsia" w:ascii="仿宋" w:hAnsi="仿宋" w:eastAsia="仿宋" w:cs="仿宋"/>
          <w:color w:val="000000"/>
          <w:sz w:val="24"/>
          <w:szCs w:val="24"/>
        </w:rPr>
        <w:t>龄</w:t>
      </w:r>
      <w:bookmarkStart w:id="534" w:name="_Toc247527829"/>
      <w:bookmarkStart w:id="535" w:name="_Toc361508754"/>
      <w:bookmarkStart w:id="536" w:name="_Toc152042578"/>
      <w:bookmarkStart w:id="537" w:name="_Toc144974858"/>
      <w:bookmarkStart w:id="538" w:name="_Toc384308377"/>
      <w:bookmarkStart w:id="539" w:name="_Toc369531699"/>
      <w:bookmarkStart w:id="540" w:name="_Toc300835211"/>
      <w:bookmarkStart w:id="541" w:name="_Toc15573"/>
      <w:bookmarkStart w:id="542" w:name="_Toc352691663"/>
      <w:bookmarkStart w:id="543" w:name="_Toc152045789"/>
      <w:bookmarkStart w:id="544" w:name="_Toc247514248"/>
      <w:r>
        <w:rPr>
          <w:rFonts w:hint="eastAsia" w:ascii="仿宋" w:hAnsi="仿宋" w:eastAsia="仿宋" w:cs="仿宋"/>
          <w:color w:val="000000"/>
          <w:sz w:val="24"/>
          <w:szCs w:val="24"/>
        </w:rPr>
        <w:t>：</w:t>
      </w:r>
      <w:bookmarkEnd w:id="534"/>
      <w:bookmarkEnd w:id="535"/>
      <w:bookmarkEnd w:id="536"/>
      <w:bookmarkEnd w:id="537"/>
      <w:bookmarkEnd w:id="538"/>
      <w:bookmarkEnd w:id="539"/>
      <w:bookmarkEnd w:id="540"/>
      <w:bookmarkEnd w:id="541"/>
      <w:bookmarkEnd w:id="542"/>
      <w:bookmarkEnd w:id="543"/>
      <w:bookmarkEnd w:id="544"/>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lang w:val="en-US" w:eastAsia="zh-CN"/>
        </w:rPr>
        <w:t xml:space="preserve">            </w:t>
      </w:r>
    </w:p>
    <w:p w14:paraId="22C8F420">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color w:val="000000"/>
          <w:sz w:val="24"/>
          <w:szCs w:val="24"/>
          <w:lang w:val="en-US" w:eastAsia="zh-CN"/>
        </w:rPr>
        <w:t>供应商</w:t>
      </w:r>
      <w:r>
        <w:rPr>
          <w:rFonts w:hint="eastAsia" w:ascii="仿宋" w:hAnsi="仿宋" w:eastAsia="仿宋" w:cs="仿宋"/>
          <w:color w:val="000000"/>
          <w:sz w:val="24"/>
          <w:szCs w:val="24"/>
        </w:rPr>
        <w:t>名称）的法定代表人（单位负责人）。</w:t>
      </w:r>
    </w:p>
    <w:p w14:paraId="0240C3F2">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08FC9D80">
      <w:pPr>
        <w:spacing w:line="440" w:lineRule="exact"/>
        <w:rPr>
          <w:rFonts w:hint="eastAsia" w:ascii="仿宋" w:hAnsi="仿宋" w:eastAsia="仿宋" w:cs="仿宋"/>
          <w:color w:val="000000"/>
          <w:sz w:val="24"/>
          <w:szCs w:val="24"/>
        </w:rPr>
      </w:pPr>
    </w:p>
    <w:p w14:paraId="1C12DE0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附：法定代表人（单位负责人）身份证。</w:t>
      </w:r>
    </w:p>
    <w:p w14:paraId="6C8F7E8C">
      <w:pPr>
        <w:spacing w:line="440" w:lineRule="exact"/>
        <w:rPr>
          <w:rFonts w:hint="eastAsia" w:ascii="仿宋" w:hAnsi="仿宋" w:eastAsia="仿宋" w:cs="仿宋"/>
          <w:color w:val="000000"/>
          <w:sz w:val="24"/>
          <w:szCs w:val="24"/>
        </w:rPr>
      </w:pPr>
    </w:p>
    <w:p w14:paraId="100E85F4">
      <w:pPr>
        <w:spacing w:line="440" w:lineRule="exact"/>
        <w:rPr>
          <w:rFonts w:hint="eastAsia" w:ascii="仿宋" w:hAnsi="仿宋" w:eastAsia="仿宋" w:cs="仿宋"/>
          <w:color w:val="000000"/>
          <w:sz w:val="24"/>
          <w:szCs w:val="24"/>
        </w:rPr>
      </w:pPr>
    </w:p>
    <w:p w14:paraId="173EEEAB">
      <w:pPr>
        <w:spacing w:line="440" w:lineRule="exact"/>
        <w:rPr>
          <w:rFonts w:hint="eastAsia" w:ascii="仿宋" w:hAnsi="仿宋" w:eastAsia="仿宋" w:cs="仿宋"/>
          <w:color w:val="000000"/>
          <w:sz w:val="24"/>
          <w:szCs w:val="24"/>
        </w:rPr>
      </w:pPr>
    </w:p>
    <w:p w14:paraId="44FFC165">
      <w:pPr>
        <w:spacing w:line="44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color w:val="000000"/>
          <w:sz w:val="24"/>
          <w:szCs w:val="24"/>
        </w:rPr>
        <w:t>（盖单位章）</w:t>
      </w:r>
    </w:p>
    <w:p w14:paraId="434EA735">
      <w:pPr>
        <w:spacing w:line="440" w:lineRule="exact"/>
        <w:rPr>
          <w:rFonts w:hint="eastAsia" w:ascii="仿宋" w:hAnsi="仿宋" w:eastAsia="仿宋" w:cs="仿宋"/>
          <w:color w:val="000000"/>
          <w:sz w:val="24"/>
          <w:szCs w:val="24"/>
        </w:rPr>
      </w:pPr>
    </w:p>
    <w:p w14:paraId="274FCB0B">
      <w:pPr>
        <w:spacing w:line="240" w:lineRule="auto"/>
        <w:jc w:val="right"/>
        <w:rPr>
          <w:rFonts w:hint="eastAsia" w:ascii="仿宋" w:hAnsi="仿宋" w:eastAsia="仿宋" w:cs="仿宋"/>
          <w:sz w:val="24"/>
          <w:szCs w:val="24"/>
        </w:rPr>
      </w:pP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w:t>
      </w:r>
    </w:p>
    <w:p w14:paraId="3E9A8DEF">
      <w:pPr>
        <w:jc w:val="right"/>
        <w:rPr>
          <w:rFonts w:hint="eastAsia" w:ascii="仿宋" w:hAnsi="仿宋" w:eastAsia="仿宋" w:cs="仿宋"/>
          <w:sz w:val="24"/>
          <w:szCs w:val="24"/>
        </w:rPr>
      </w:pPr>
      <w:r>
        <w:rPr>
          <w:rFonts w:hint="eastAsia" w:ascii="仿宋" w:hAnsi="仿宋" w:eastAsia="仿宋" w:cs="仿宋"/>
          <w:sz w:val="24"/>
          <w:szCs w:val="24"/>
        </w:rPr>
        <w:br w:type="page"/>
      </w:r>
    </w:p>
    <w:p w14:paraId="372121F1">
      <w:pPr>
        <w:pStyle w:val="3"/>
        <w:spacing w:line="240" w:lineRule="auto"/>
        <w:jc w:val="center"/>
        <w:rPr>
          <w:rFonts w:hint="eastAsia" w:ascii="仿宋" w:hAnsi="仿宋" w:eastAsia="仿宋" w:cs="仿宋"/>
          <w:color w:val="000000"/>
        </w:rPr>
      </w:pPr>
      <w:bookmarkStart w:id="545" w:name="_Toc11497"/>
      <w:bookmarkStart w:id="546" w:name="_Toc29513"/>
      <w:r>
        <w:rPr>
          <w:rFonts w:hint="eastAsia" w:ascii="仿宋" w:hAnsi="仿宋" w:eastAsia="仿宋" w:cs="仿宋"/>
        </w:rPr>
        <w:t>二、授权委托</w:t>
      </w:r>
      <w:r>
        <w:rPr>
          <w:rFonts w:hint="eastAsia" w:ascii="仿宋" w:hAnsi="仿宋" w:eastAsia="仿宋" w:cs="仿宋"/>
          <w:color w:val="000000"/>
        </w:rPr>
        <w:t>书</w:t>
      </w:r>
      <w:bookmarkEnd w:id="530"/>
      <w:bookmarkEnd w:id="545"/>
      <w:bookmarkEnd w:id="546"/>
    </w:p>
    <w:p w14:paraId="66C3B08C">
      <w:pPr>
        <w:spacing w:line="440" w:lineRule="exact"/>
        <w:rPr>
          <w:rFonts w:hint="eastAsia" w:ascii="仿宋" w:hAnsi="仿宋" w:eastAsia="仿宋" w:cs="仿宋"/>
          <w:color w:val="000000"/>
        </w:rPr>
      </w:pPr>
    </w:p>
    <w:p w14:paraId="456596F0">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（姓名）</w:t>
      </w:r>
      <w:r>
        <w:rPr>
          <w:rFonts w:hint="eastAsia" w:ascii="仿宋" w:hAnsi="仿宋" w:eastAsia="仿宋" w:cs="仿宋"/>
          <w:color w:val="000000"/>
          <w:sz w:val="24"/>
          <w:szCs w:val="24"/>
        </w:rPr>
        <w:t>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（供应商名称）</w:t>
      </w:r>
      <w:r>
        <w:rPr>
          <w:rFonts w:hint="eastAsia" w:ascii="仿宋" w:hAnsi="仿宋" w:eastAsia="仿宋" w:cs="仿宋"/>
          <w:color w:val="000000"/>
          <w:sz w:val="24"/>
          <w:szCs w:val="24"/>
        </w:rPr>
        <w:t>的法定代表人（单位负责人），现委托</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（姓名）</w:t>
      </w:r>
      <w:r>
        <w:rPr>
          <w:rFonts w:hint="eastAsia" w:ascii="仿宋" w:hAnsi="仿宋" w:eastAsia="仿宋" w:cs="仿宋"/>
          <w:color w:val="000000"/>
          <w:sz w:val="24"/>
          <w:szCs w:val="24"/>
        </w:rPr>
        <w:t>为我方代理人。代理人根据授权，以我方名义签署、澄清确认、递交、撤回、修改</w:t>
      </w:r>
      <w:r>
        <w:rPr>
          <w:rFonts w:hint="eastAsia" w:ascii="仿宋" w:hAnsi="仿宋" w:eastAsia="仿宋" w:cs="仿宋"/>
          <w:sz w:val="24"/>
          <w:szCs w:val="24"/>
          <w:u w:val="single"/>
        </w:rPr>
        <w:t xml:space="preserve">            </w:t>
      </w:r>
      <w:r>
        <w:rPr>
          <w:rFonts w:hint="eastAsia" w:ascii="仿宋" w:hAnsi="仿宋" w:eastAsia="仿宋" w:cs="仿宋"/>
          <w:sz w:val="24"/>
          <w:szCs w:val="24"/>
          <w:lang w:eastAsia="zh-CN"/>
        </w:rPr>
        <w:t>询比</w:t>
      </w:r>
      <w:r>
        <w:rPr>
          <w:rFonts w:hint="eastAsia" w:ascii="仿宋" w:hAnsi="仿宋" w:eastAsia="仿宋" w:cs="仿宋"/>
          <w:color w:val="000000"/>
          <w:sz w:val="24"/>
          <w:szCs w:val="24"/>
        </w:rPr>
        <w:t>采购项目响应文件、签订合同和处理有关事宜，其法律后果由我方承担。</w:t>
      </w:r>
    </w:p>
    <w:p w14:paraId="17E85BCF">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委托期限：自本委托书签署之日起至</w:t>
      </w:r>
      <w:r>
        <w:rPr>
          <w:rFonts w:hint="eastAsia" w:ascii="仿宋" w:hAnsi="仿宋" w:eastAsia="仿宋" w:cs="仿宋"/>
          <w:sz w:val="24"/>
          <w:szCs w:val="24"/>
          <w:u w:val="single"/>
        </w:rPr>
        <w:t xml:space="preserve">            </w:t>
      </w:r>
      <w:r>
        <w:rPr>
          <w:rFonts w:hint="eastAsia" w:ascii="仿宋" w:hAnsi="仿宋" w:eastAsia="仿宋" w:cs="仿宋"/>
          <w:sz w:val="24"/>
          <w:szCs w:val="24"/>
          <w:lang w:eastAsia="zh-CN"/>
        </w:rPr>
        <w:t>询比</w:t>
      </w:r>
      <w:r>
        <w:rPr>
          <w:rFonts w:hint="eastAsia" w:ascii="仿宋" w:hAnsi="仿宋" w:eastAsia="仿宋" w:cs="仿宋"/>
          <w:color w:val="000000"/>
          <w:sz w:val="24"/>
          <w:szCs w:val="24"/>
        </w:rPr>
        <w:t>采购项目签订成交合同之日止。</w:t>
      </w:r>
    </w:p>
    <w:p w14:paraId="67D48E61">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3029B873">
      <w:pPr>
        <w:spacing w:line="440" w:lineRule="exact"/>
        <w:ind w:firstLine="480" w:firstLineChars="200"/>
        <w:rPr>
          <w:rFonts w:hint="eastAsia" w:ascii="仿宋" w:hAnsi="仿宋" w:eastAsia="仿宋" w:cs="仿宋"/>
          <w:color w:val="000000"/>
          <w:sz w:val="24"/>
          <w:szCs w:val="24"/>
        </w:rPr>
      </w:pPr>
    </w:p>
    <w:p w14:paraId="3073ABD1">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附：法定代表人（单位负责人）身份证及委托代理人身份证。</w:t>
      </w:r>
    </w:p>
    <w:p w14:paraId="166CCE5F">
      <w:pPr>
        <w:spacing w:line="440" w:lineRule="exact"/>
        <w:rPr>
          <w:rFonts w:hint="eastAsia" w:ascii="仿宋" w:hAnsi="仿宋" w:eastAsia="仿宋" w:cs="仿宋"/>
          <w:color w:val="000000"/>
          <w:sz w:val="24"/>
          <w:szCs w:val="24"/>
        </w:rPr>
      </w:pPr>
    </w:p>
    <w:p w14:paraId="71D5F818">
      <w:pPr>
        <w:spacing w:line="440" w:lineRule="exact"/>
        <w:rPr>
          <w:rFonts w:hint="eastAsia" w:ascii="仿宋" w:hAnsi="仿宋" w:eastAsia="仿宋" w:cs="仿宋"/>
          <w:color w:val="000000"/>
          <w:sz w:val="24"/>
          <w:szCs w:val="24"/>
        </w:rPr>
      </w:pPr>
    </w:p>
    <w:p w14:paraId="2BCA4EE2">
      <w:pPr>
        <w:spacing w:line="44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供应商：</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u w:val="single"/>
        </w:rPr>
        <w:t>（盖单位章）</w:t>
      </w:r>
    </w:p>
    <w:p w14:paraId="1B1DA5FC">
      <w:pPr>
        <w:spacing w:line="440" w:lineRule="exact"/>
        <w:ind w:firstLine="3076" w:firstLineChars="1282"/>
        <w:rPr>
          <w:rFonts w:hint="eastAsia" w:ascii="仿宋" w:hAnsi="仿宋" w:eastAsia="仿宋" w:cs="仿宋"/>
          <w:color w:val="000000"/>
          <w:sz w:val="24"/>
          <w:szCs w:val="24"/>
        </w:rPr>
      </w:pPr>
    </w:p>
    <w:p w14:paraId="5F5EAA61">
      <w:pPr>
        <w:spacing w:line="440" w:lineRule="exact"/>
        <w:ind w:firstLine="1680" w:firstLineChars="700"/>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u w:val="single"/>
        </w:rPr>
        <w:t>（签字）</w:t>
      </w:r>
    </w:p>
    <w:p w14:paraId="17F52BFA">
      <w:pPr>
        <w:spacing w:line="440" w:lineRule="exact"/>
        <w:ind w:firstLine="3076" w:firstLineChars="1282"/>
        <w:rPr>
          <w:rFonts w:hint="eastAsia" w:ascii="仿宋" w:hAnsi="仿宋" w:eastAsia="仿宋" w:cs="仿宋"/>
          <w:color w:val="000000"/>
          <w:sz w:val="24"/>
          <w:szCs w:val="24"/>
        </w:rPr>
      </w:pPr>
    </w:p>
    <w:p w14:paraId="3403824A">
      <w:pPr>
        <w:spacing w:line="44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u w:val="single"/>
        </w:rPr>
        <w:t>（签字）</w:t>
      </w:r>
    </w:p>
    <w:p w14:paraId="0FBB5AE5">
      <w:pPr>
        <w:spacing w:line="440" w:lineRule="exact"/>
        <w:ind w:firstLine="3076" w:firstLineChars="1282"/>
        <w:rPr>
          <w:rFonts w:hint="eastAsia" w:ascii="仿宋" w:hAnsi="仿宋" w:eastAsia="仿宋" w:cs="仿宋"/>
          <w:color w:val="000000"/>
          <w:sz w:val="24"/>
          <w:szCs w:val="24"/>
        </w:rPr>
      </w:pPr>
    </w:p>
    <w:p w14:paraId="2CBE4D19">
      <w:pPr>
        <w:spacing w:line="440" w:lineRule="exact"/>
        <w:ind w:firstLine="3076" w:firstLineChars="1282"/>
        <w:rPr>
          <w:rFonts w:hint="eastAsia" w:ascii="仿宋" w:hAnsi="仿宋" w:eastAsia="仿宋" w:cs="仿宋"/>
          <w:color w:val="000000"/>
          <w:sz w:val="24"/>
          <w:szCs w:val="24"/>
        </w:rPr>
      </w:pPr>
    </w:p>
    <w:p w14:paraId="239D1528">
      <w:pPr>
        <w:spacing w:line="440" w:lineRule="exact"/>
        <w:ind w:firstLine="3076" w:firstLineChars="1282"/>
        <w:rPr>
          <w:rFonts w:hint="eastAsia" w:ascii="仿宋" w:hAnsi="仿宋" w:eastAsia="仿宋" w:cs="仿宋"/>
          <w:color w:val="000000"/>
          <w:sz w:val="24"/>
          <w:szCs w:val="24"/>
        </w:rPr>
      </w:pPr>
    </w:p>
    <w:p w14:paraId="5977568F">
      <w:pPr>
        <w:spacing w:line="440" w:lineRule="exact"/>
        <w:ind w:firstLine="3076" w:firstLineChars="1282"/>
        <w:rPr>
          <w:rFonts w:hint="eastAsia" w:ascii="仿宋" w:hAnsi="仿宋" w:eastAsia="仿宋" w:cs="仿宋"/>
          <w:color w:val="000000"/>
          <w:sz w:val="24"/>
          <w:szCs w:val="24"/>
        </w:rPr>
      </w:pPr>
    </w:p>
    <w:p w14:paraId="3064E80A">
      <w:pPr>
        <w:spacing w:line="440" w:lineRule="exact"/>
        <w:ind w:firstLine="4636" w:firstLineChars="1932"/>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AA9F197">
      <w:pPr>
        <w:spacing w:line="440" w:lineRule="exact"/>
        <w:ind w:firstLine="4057" w:firstLineChars="1932"/>
        <w:jc w:val="right"/>
        <w:rPr>
          <w:rFonts w:hint="eastAsia" w:ascii="仿宋" w:hAnsi="仿宋" w:eastAsia="仿宋" w:cs="仿宋"/>
          <w:color w:val="000000"/>
        </w:rPr>
      </w:pPr>
    </w:p>
    <w:p w14:paraId="0F5655E9">
      <w:pPr>
        <w:spacing w:line="440" w:lineRule="exact"/>
        <w:ind w:firstLine="4057" w:firstLineChars="1932"/>
        <w:jc w:val="right"/>
        <w:rPr>
          <w:rFonts w:hint="eastAsia" w:ascii="仿宋" w:hAnsi="仿宋" w:eastAsia="仿宋" w:cs="仿宋"/>
          <w:color w:val="000000"/>
        </w:rPr>
      </w:pPr>
      <w:r>
        <w:rPr>
          <w:rFonts w:hint="eastAsia" w:ascii="仿宋" w:hAnsi="仿宋" w:eastAsia="仿宋" w:cs="仿宋"/>
          <w:color w:val="000000"/>
        </w:rPr>
        <w:br w:type="page"/>
      </w:r>
    </w:p>
    <w:p w14:paraId="22F41EEF">
      <w:pPr>
        <w:pStyle w:val="3"/>
        <w:spacing w:line="240" w:lineRule="auto"/>
        <w:jc w:val="center"/>
        <w:rPr>
          <w:rFonts w:hint="eastAsia" w:ascii="仿宋" w:hAnsi="仿宋" w:eastAsia="仿宋" w:cs="仿宋"/>
        </w:rPr>
      </w:pPr>
      <w:bookmarkStart w:id="547" w:name="_Toc21171"/>
      <w:bookmarkStart w:id="548" w:name="_Toc501460789"/>
      <w:r>
        <w:rPr>
          <w:rFonts w:hint="eastAsia" w:ascii="仿宋" w:hAnsi="仿宋" w:eastAsia="仿宋" w:cs="仿宋"/>
        </w:rPr>
        <w:t>三、联合体协议书</w:t>
      </w:r>
      <w:bookmarkEnd w:id="547"/>
      <w:bookmarkEnd w:id="548"/>
    </w:p>
    <w:p w14:paraId="3EF96673">
      <w:pPr>
        <w:topLinePunct/>
        <w:spacing w:line="440" w:lineRule="exact"/>
        <w:ind w:firstLine="480" w:firstLineChars="20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（适用于供应商组成联合体的情况）</w:t>
      </w:r>
    </w:p>
    <w:p w14:paraId="2D4AC334">
      <w:pPr>
        <w:jc w:val="center"/>
        <w:rPr>
          <w:rFonts w:hint="eastAsia" w:ascii="仿宋" w:hAnsi="仿宋" w:eastAsia="仿宋" w:cs="仿宋"/>
          <w:i/>
          <w:iCs/>
          <w:color w:val="0000FF"/>
        </w:rPr>
      </w:pPr>
    </w:p>
    <w:p w14:paraId="24533879">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（所有成员单位名称）</w:t>
      </w:r>
      <w:r>
        <w:rPr>
          <w:rFonts w:hint="eastAsia" w:ascii="仿宋" w:hAnsi="仿宋" w:eastAsia="仿宋" w:cs="仿宋"/>
          <w:color w:val="000000"/>
          <w:sz w:val="24"/>
          <w:szCs w:val="24"/>
        </w:rPr>
        <w:t>自愿组成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（联合体名称）</w:t>
      </w:r>
      <w:r>
        <w:rPr>
          <w:rFonts w:hint="eastAsia" w:ascii="仿宋" w:hAnsi="仿宋" w:eastAsia="仿宋" w:cs="仿宋"/>
          <w:color w:val="000000"/>
          <w:sz w:val="24"/>
          <w:szCs w:val="24"/>
        </w:rPr>
        <w:t>联合体，共同参加</w:t>
      </w:r>
      <w:r>
        <w:rPr>
          <w:rFonts w:hint="eastAsia" w:ascii="仿宋" w:hAnsi="仿宋" w:eastAsia="仿宋" w:cs="仿宋"/>
          <w:sz w:val="24"/>
          <w:szCs w:val="24"/>
          <w:u w:val="single"/>
        </w:rPr>
        <w:t xml:space="preserve">              （项目名称）</w:t>
      </w:r>
      <w:r>
        <w:rPr>
          <w:rFonts w:hint="eastAsia" w:ascii="仿宋" w:hAnsi="仿宋" w:eastAsia="仿宋" w:cs="仿宋"/>
          <w:color w:val="000000"/>
          <w:sz w:val="24"/>
          <w:szCs w:val="24"/>
        </w:rPr>
        <w:t>询比活动</w:t>
      </w:r>
      <w:r>
        <w:rPr>
          <w:rFonts w:hint="eastAsia" w:ascii="仿宋" w:hAnsi="仿宋" w:eastAsia="仿宋" w:cs="仿宋"/>
          <w:sz w:val="24"/>
          <w:szCs w:val="24"/>
        </w:rPr>
        <w:t>。现就组成联</w:t>
      </w:r>
      <w:r>
        <w:rPr>
          <w:rFonts w:hint="eastAsia" w:ascii="仿宋" w:hAnsi="仿宋" w:eastAsia="仿宋" w:cs="仿宋"/>
          <w:color w:val="000000"/>
          <w:sz w:val="24"/>
          <w:szCs w:val="24"/>
        </w:rPr>
        <w:t>合体事宜订立如下协议。</w:t>
      </w:r>
    </w:p>
    <w:p w14:paraId="403E3D06">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（某成员单位名称）为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（联合体名称）牵头人。</w:t>
      </w:r>
    </w:p>
    <w:p w14:paraId="0D979C90">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 联合体各成员授权牵头人代表联合体参加询比采购活动，签署文件，递交和接收相</w:t>
      </w:r>
      <w:bookmarkStart w:id="549" w:name="_Toc144974859"/>
      <w:bookmarkStart w:id="550" w:name="_Toc361508755"/>
      <w:bookmarkStart w:id="551" w:name="_Toc247514249"/>
      <w:bookmarkStart w:id="552" w:name="_Toc300835212"/>
      <w:bookmarkStart w:id="553" w:name="_Toc247527830"/>
      <w:bookmarkStart w:id="554" w:name="_Toc152042579"/>
      <w:bookmarkStart w:id="555" w:name="_Toc384308378"/>
      <w:bookmarkStart w:id="556" w:name="_Toc152045790"/>
      <w:r>
        <w:rPr>
          <w:rFonts w:hint="eastAsia" w:ascii="仿宋" w:hAnsi="仿宋" w:eastAsia="仿宋" w:cs="仿宋"/>
          <w:color w:val="000000"/>
          <w:sz w:val="24"/>
          <w:szCs w:val="24"/>
        </w:rPr>
        <w:t>关的</w:t>
      </w:r>
      <w:bookmarkStart w:id="557" w:name="_Toc7749"/>
      <w:bookmarkStart w:id="558" w:name="_Toc352691664"/>
      <w:bookmarkStart w:id="559" w:name="_Toc369531700"/>
      <w:r>
        <w:rPr>
          <w:rFonts w:hint="eastAsia" w:ascii="仿宋" w:hAnsi="仿宋" w:eastAsia="仿宋" w:cs="仿宋"/>
          <w:color w:val="000000"/>
          <w:sz w:val="24"/>
          <w:szCs w:val="24"/>
        </w:rPr>
        <w:t>资料、信息及</w:t>
      </w:r>
      <w:bookmarkEnd w:id="557"/>
      <w:bookmarkEnd w:id="558"/>
      <w:bookmarkEnd w:id="559"/>
      <w:r>
        <w:rPr>
          <w:rFonts w:hint="eastAsia" w:ascii="仿宋" w:hAnsi="仿宋" w:eastAsia="仿宋" w:cs="仿宋"/>
          <w:color w:val="000000"/>
          <w:sz w:val="24"/>
          <w:szCs w:val="24"/>
        </w:rPr>
        <w:t>指</w:t>
      </w:r>
      <w:bookmarkEnd w:id="549"/>
      <w:bookmarkEnd w:id="550"/>
      <w:bookmarkEnd w:id="551"/>
      <w:bookmarkEnd w:id="552"/>
      <w:bookmarkEnd w:id="553"/>
      <w:bookmarkEnd w:id="554"/>
      <w:bookmarkEnd w:id="555"/>
      <w:bookmarkEnd w:id="556"/>
      <w:r>
        <w:rPr>
          <w:rFonts w:hint="eastAsia" w:ascii="仿宋" w:hAnsi="仿宋" w:eastAsia="仿宋" w:cs="仿宋"/>
          <w:color w:val="000000"/>
          <w:sz w:val="24"/>
          <w:szCs w:val="24"/>
        </w:rPr>
        <w:t>示，进行合同谈判活动，负责合同实施阶段的组织和协调工作，以及处理与本采购项目有关的一切事宜。</w:t>
      </w:r>
    </w:p>
    <w:p w14:paraId="4FA5A18E">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bookmarkStart w:id="560" w:name="_Toc384308380"/>
      <w:bookmarkStart w:id="561" w:name="_Toc144974860"/>
      <w:bookmarkStart w:id="562" w:name="_Toc247514283"/>
      <w:bookmarkStart w:id="563" w:name="_Toc152042580"/>
      <w:bookmarkStart w:id="564" w:name="_Toc352691665"/>
      <w:bookmarkStart w:id="565" w:name="_Toc152045791"/>
      <w:bookmarkStart w:id="566" w:name="_Toc247527831"/>
      <w:bookmarkStart w:id="567" w:name="_Toc27930"/>
      <w:bookmarkStart w:id="568" w:name="_Toc369531701"/>
      <w:bookmarkStart w:id="569" w:name="_Toc300835213"/>
      <w:bookmarkStart w:id="570" w:name="_Toc361508756"/>
      <w:r>
        <w:rPr>
          <w:rFonts w:hint="eastAsia" w:ascii="仿宋" w:hAnsi="仿宋" w:eastAsia="仿宋" w:cs="仿宋"/>
          <w:color w:val="000000"/>
          <w:sz w:val="24"/>
          <w:szCs w:val="24"/>
        </w:rPr>
        <w:t>. 联合体牵头人在本项目中签署的一切文件和处理</w:t>
      </w:r>
      <w:bookmarkEnd w:id="560"/>
      <w:bookmarkEnd w:id="561"/>
      <w:bookmarkEnd w:id="562"/>
      <w:bookmarkEnd w:id="563"/>
      <w:bookmarkEnd w:id="564"/>
      <w:bookmarkEnd w:id="565"/>
      <w:bookmarkEnd w:id="566"/>
      <w:bookmarkEnd w:id="567"/>
      <w:bookmarkEnd w:id="568"/>
      <w:bookmarkEnd w:id="569"/>
      <w:bookmarkEnd w:id="570"/>
      <w:r>
        <w:rPr>
          <w:rFonts w:hint="eastAsia" w:ascii="仿宋" w:hAnsi="仿宋" w:eastAsia="仿宋" w:cs="仿宋"/>
          <w:color w:val="000000"/>
          <w:sz w:val="24"/>
          <w:szCs w:val="24"/>
        </w:rPr>
        <w:t>的一切事宜，联合体各成员均予以承认。联合体各成员将严格按照采购文件、响应文件和合同的要求全面履行义务，并向采购人承担连带责任。</w:t>
      </w:r>
    </w:p>
    <w:p w14:paraId="4B83370E">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4.联合体各方承诺不以自己名义单独或参加其他联合体参与本询比采购项目。</w:t>
      </w:r>
    </w:p>
    <w:p w14:paraId="3F3EF378">
      <w:pPr>
        <w:topLinePunct/>
        <w:spacing w:line="44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 联合体各成员单位内部的职责分工如下：</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p>
    <w:p w14:paraId="6227716F">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 本协议书自所有成员单位法定代表人（单位负责人）或其委托代理人签字并加盖单位章之日起生效，</w:t>
      </w:r>
      <w:r>
        <w:rPr>
          <w:rFonts w:hint="eastAsia" w:ascii="仿宋" w:hAnsi="仿宋" w:eastAsia="仿宋" w:cs="仿宋"/>
          <w:sz w:val="24"/>
          <w:szCs w:val="24"/>
        </w:rPr>
        <w:t>合同履行完毕后自动失效</w:t>
      </w:r>
      <w:r>
        <w:rPr>
          <w:rFonts w:hint="eastAsia" w:ascii="仿宋" w:hAnsi="仿宋" w:eastAsia="仿宋" w:cs="仿宋"/>
          <w:color w:val="000000"/>
          <w:sz w:val="24"/>
          <w:szCs w:val="24"/>
        </w:rPr>
        <w:t>。</w:t>
      </w:r>
    </w:p>
    <w:p w14:paraId="73E4FAB9">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 本协议书一式</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份，联合体成员和采购人各执一份。</w:t>
      </w:r>
    </w:p>
    <w:p w14:paraId="3F67AD6D">
      <w:pPr>
        <w:topLinePunct/>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（注：本协议书由委托代理人签字的，应附授权委托书）</w:t>
      </w:r>
    </w:p>
    <w:p w14:paraId="7188E28D">
      <w:pPr>
        <w:topLinePunct/>
        <w:spacing w:line="440" w:lineRule="exact"/>
        <w:rPr>
          <w:rFonts w:hint="eastAsia" w:ascii="仿宋" w:hAnsi="仿宋" w:eastAsia="仿宋" w:cs="仿宋"/>
          <w:color w:val="000000"/>
          <w:sz w:val="24"/>
          <w:szCs w:val="24"/>
        </w:rPr>
      </w:pPr>
    </w:p>
    <w:p w14:paraId="01DE82EA">
      <w:pPr>
        <w:topLinePunct/>
        <w:spacing w:line="440" w:lineRule="exact"/>
        <w:ind w:firstLine="1440" w:firstLineChars="600"/>
        <w:rPr>
          <w:rFonts w:hint="eastAsia" w:ascii="仿宋" w:hAnsi="仿宋" w:eastAsia="仿宋" w:cs="仿宋"/>
          <w:color w:val="000000"/>
          <w:sz w:val="24"/>
          <w:szCs w:val="24"/>
        </w:rPr>
      </w:pPr>
      <w:r>
        <w:rPr>
          <w:rFonts w:hint="eastAsia" w:ascii="仿宋" w:hAnsi="仿宋" w:eastAsia="仿宋" w:cs="仿宋"/>
          <w:color w:val="000000"/>
          <w:sz w:val="24"/>
          <w:szCs w:val="24"/>
        </w:rPr>
        <w:t>联合体牵头人名称：</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u w:val="single"/>
        </w:rPr>
        <w:t>（盖单位章）</w:t>
      </w:r>
    </w:p>
    <w:p w14:paraId="2E89189F">
      <w:pPr>
        <w:topLinePunct/>
        <w:spacing w:line="440" w:lineRule="exact"/>
        <w:ind w:firstLine="1440" w:firstLineChars="600"/>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u w:val="single"/>
        </w:rPr>
        <w:t>（签字）</w:t>
      </w:r>
    </w:p>
    <w:p w14:paraId="3B4A962D">
      <w:pPr>
        <w:topLinePunct/>
        <w:spacing w:line="440" w:lineRule="exact"/>
        <w:ind w:firstLine="2752" w:firstLineChars="1147"/>
        <w:jc w:val="left"/>
        <w:rPr>
          <w:rFonts w:hint="eastAsia" w:ascii="仿宋" w:hAnsi="仿宋" w:eastAsia="仿宋" w:cs="仿宋"/>
          <w:color w:val="000000"/>
          <w:sz w:val="24"/>
          <w:szCs w:val="24"/>
        </w:rPr>
      </w:pPr>
    </w:p>
    <w:p w14:paraId="7CBB89D8">
      <w:pPr>
        <w:topLinePunct/>
        <w:spacing w:line="440" w:lineRule="exact"/>
        <w:ind w:firstLine="1440" w:firstLineChars="6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联合体成员名称：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u w:val="single"/>
        </w:rPr>
        <w:t>（盖单位章）</w:t>
      </w:r>
    </w:p>
    <w:p w14:paraId="5EB524E7">
      <w:pPr>
        <w:topLinePunct/>
        <w:spacing w:line="440" w:lineRule="exact"/>
        <w:ind w:firstLine="1440" w:firstLineChars="600"/>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法定代表人（单位负责人）或其委托代理人：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（签字）</w:t>
      </w:r>
    </w:p>
    <w:p w14:paraId="7FC6D064">
      <w:pPr>
        <w:topLinePunct/>
        <w:spacing w:line="440" w:lineRule="exact"/>
        <w:ind w:firstLine="2752" w:firstLineChars="1147"/>
        <w:jc w:val="left"/>
        <w:rPr>
          <w:rFonts w:hint="eastAsia" w:ascii="仿宋" w:hAnsi="仿宋" w:eastAsia="仿宋" w:cs="仿宋"/>
          <w:color w:val="000000"/>
          <w:sz w:val="24"/>
          <w:szCs w:val="24"/>
        </w:rPr>
      </w:pPr>
    </w:p>
    <w:p w14:paraId="3AD7281F">
      <w:pPr>
        <w:topLinePunct/>
        <w:spacing w:line="440" w:lineRule="exact"/>
        <w:ind w:firstLine="1440" w:firstLineChars="6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联合体成员名称：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u w:val="single"/>
        </w:rPr>
        <w:t>（盖单位章）</w:t>
      </w:r>
    </w:p>
    <w:p w14:paraId="7F2AF13A">
      <w:pPr>
        <w:topLinePunct/>
        <w:spacing w:line="440" w:lineRule="exact"/>
        <w:ind w:firstLine="1440" w:firstLineChars="600"/>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法定代表人（单位负责人）或其委托代理人：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（签字）</w:t>
      </w:r>
    </w:p>
    <w:p w14:paraId="09E07883">
      <w:pPr>
        <w:topLinePunct/>
        <w:spacing w:line="440" w:lineRule="exact"/>
        <w:ind w:firstLine="2752" w:firstLineChars="1147"/>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7A541F74">
      <w:pPr>
        <w:topLinePunct/>
        <w:spacing w:line="440" w:lineRule="exact"/>
        <w:ind w:firstLine="4228" w:firstLineChars="1762"/>
        <w:rPr>
          <w:rFonts w:hint="eastAsia" w:ascii="仿宋" w:hAnsi="仿宋" w:eastAsia="仿宋" w:cs="仿宋"/>
          <w:color w:val="000000"/>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r>
        <w:rPr>
          <w:rFonts w:hint="eastAsia" w:ascii="仿宋" w:hAnsi="仿宋" w:eastAsia="仿宋" w:cs="仿宋"/>
          <w:color w:val="000000"/>
        </w:rPr>
        <w:br w:type="page"/>
      </w:r>
    </w:p>
    <w:p w14:paraId="7C310721">
      <w:pPr>
        <w:pStyle w:val="3"/>
        <w:spacing w:line="240" w:lineRule="auto"/>
        <w:jc w:val="center"/>
        <w:rPr>
          <w:rFonts w:hint="eastAsia" w:ascii="仿宋" w:hAnsi="仿宋" w:eastAsia="仿宋" w:cs="仿宋"/>
        </w:rPr>
      </w:pPr>
      <w:bookmarkStart w:id="571" w:name="_Toc501460790"/>
      <w:bookmarkStart w:id="572" w:name="_Toc21440"/>
      <w:r>
        <w:rPr>
          <w:rFonts w:hint="eastAsia" w:ascii="仿宋" w:hAnsi="仿宋" w:eastAsia="仿宋" w:cs="仿宋"/>
        </w:rPr>
        <w:t>四、</w:t>
      </w:r>
      <w:bookmarkEnd w:id="571"/>
      <w:bookmarkStart w:id="573" w:name="_Toc152042581"/>
      <w:bookmarkStart w:id="574" w:name="_Toc144974861"/>
      <w:bookmarkStart w:id="575" w:name="_Toc152045792"/>
      <w:bookmarkStart w:id="576" w:name="_Toc361508757"/>
      <w:bookmarkStart w:id="577" w:name="_Toc13469"/>
      <w:bookmarkStart w:id="578" w:name="_Toc384308381"/>
      <w:bookmarkStart w:id="579" w:name="_Toc247527832"/>
      <w:bookmarkStart w:id="580" w:name="_Toc352691666"/>
      <w:bookmarkStart w:id="581" w:name="_Toc369531702"/>
      <w:bookmarkStart w:id="582" w:name="_Toc300835214"/>
      <w:bookmarkStart w:id="583" w:name="_Toc247514284"/>
      <w:r>
        <w:rPr>
          <w:rFonts w:hint="eastAsia" w:ascii="仿宋" w:hAnsi="仿宋" w:eastAsia="仿宋" w:cs="仿宋"/>
        </w:rPr>
        <w:t>响应保证金</w:t>
      </w:r>
      <w:bookmarkEnd w:id="572"/>
    </w:p>
    <w:bookmarkEnd w:id="573"/>
    <w:bookmarkEnd w:id="574"/>
    <w:bookmarkEnd w:id="575"/>
    <w:bookmarkEnd w:id="576"/>
    <w:bookmarkEnd w:id="577"/>
    <w:bookmarkEnd w:id="578"/>
    <w:bookmarkEnd w:id="579"/>
    <w:bookmarkEnd w:id="580"/>
    <w:bookmarkEnd w:id="581"/>
    <w:bookmarkEnd w:id="582"/>
    <w:bookmarkEnd w:id="583"/>
    <w:p w14:paraId="56608E40">
      <w:pPr>
        <w:spacing w:line="440" w:lineRule="exact"/>
        <w:ind w:firstLine="0" w:firstLineChars="0"/>
        <w:rPr>
          <w:rFonts w:hint="eastAsia" w:ascii="仿宋" w:hAnsi="仿宋" w:eastAsia="仿宋" w:cs="仿宋"/>
          <w:sz w:val="24"/>
          <w:szCs w:val="24"/>
        </w:rPr>
      </w:pPr>
      <w:r>
        <w:rPr>
          <w:rFonts w:hint="eastAsia" w:ascii="仿宋" w:hAnsi="仿宋" w:eastAsia="仿宋" w:cs="仿宋"/>
          <w:color w:val="000000"/>
          <w:sz w:val="24"/>
          <w:szCs w:val="24"/>
          <w:lang w:val="en-US" w:eastAsia="zh-CN"/>
        </w:rPr>
        <w:t>供应商</w:t>
      </w:r>
      <w:r>
        <w:rPr>
          <w:rFonts w:hint="eastAsia" w:ascii="仿宋" w:hAnsi="仿宋" w:eastAsia="仿宋" w:cs="仿宋"/>
          <w:color w:val="000000"/>
          <w:sz w:val="24"/>
          <w:szCs w:val="24"/>
        </w:rPr>
        <w:t>须知前附表3.4.1</w:t>
      </w:r>
      <w:r>
        <w:rPr>
          <w:rFonts w:hint="eastAsia" w:ascii="仿宋" w:hAnsi="仿宋" w:eastAsia="仿宋" w:cs="仿宋"/>
          <w:color w:val="000000"/>
          <w:sz w:val="24"/>
          <w:szCs w:val="24"/>
          <w:lang w:val="en-US" w:eastAsia="zh-CN"/>
        </w:rPr>
        <w:t>项规定的</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保证金形式</w:t>
      </w:r>
      <w:r>
        <w:rPr>
          <w:rFonts w:hint="eastAsia" w:ascii="仿宋" w:hAnsi="仿宋" w:eastAsia="仿宋" w:cs="仿宋"/>
          <w:color w:val="000000"/>
          <w:sz w:val="24"/>
          <w:szCs w:val="24"/>
          <w:lang w:val="en-US" w:eastAsia="zh-CN"/>
        </w:rPr>
        <w:t>中允许采用银行保函的</w:t>
      </w:r>
      <w:r>
        <w:rPr>
          <w:rFonts w:hint="eastAsia" w:ascii="仿宋" w:hAnsi="仿宋" w:eastAsia="仿宋" w:cs="仿宋"/>
          <w:sz w:val="24"/>
          <w:szCs w:val="24"/>
        </w:rPr>
        <w:t>，格式如下：</w:t>
      </w:r>
    </w:p>
    <w:p w14:paraId="0DED9393">
      <w:pPr>
        <w:spacing w:line="440" w:lineRule="exact"/>
        <w:rPr>
          <w:rFonts w:hint="eastAsia" w:ascii="仿宋" w:hAnsi="仿宋" w:eastAsia="仿宋" w:cs="仿宋"/>
          <w:sz w:val="24"/>
          <w:szCs w:val="24"/>
        </w:rPr>
      </w:pPr>
    </w:p>
    <w:p w14:paraId="11B00A75">
      <w:pPr>
        <w:spacing w:line="440" w:lineRule="exact"/>
        <w:rPr>
          <w:rFonts w:hint="eastAsia" w:ascii="仿宋" w:hAnsi="仿宋" w:eastAsia="仿宋" w:cs="仿宋"/>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（采购人名称）</w:t>
      </w:r>
      <w:r>
        <w:rPr>
          <w:rFonts w:hint="eastAsia" w:ascii="仿宋" w:hAnsi="仿宋" w:eastAsia="仿宋" w:cs="仿宋"/>
          <w:sz w:val="24"/>
          <w:szCs w:val="24"/>
        </w:rPr>
        <w:t>：</w:t>
      </w:r>
    </w:p>
    <w:p w14:paraId="363E9513">
      <w:pPr>
        <w:spacing w:line="440" w:lineRule="exact"/>
        <w:rPr>
          <w:rFonts w:hint="eastAsia" w:ascii="仿宋" w:hAnsi="仿宋" w:eastAsia="仿宋" w:cs="仿宋"/>
          <w:sz w:val="24"/>
          <w:szCs w:val="24"/>
        </w:rPr>
      </w:pPr>
    </w:p>
    <w:p w14:paraId="69FD9D86">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鉴于</w:t>
      </w:r>
      <w:r>
        <w:rPr>
          <w:rFonts w:hint="eastAsia" w:ascii="仿宋" w:hAnsi="仿宋" w:eastAsia="仿宋" w:cs="仿宋"/>
          <w:sz w:val="24"/>
          <w:szCs w:val="24"/>
          <w:u w:val="single"/>
        </w:rPr>
        <w:t xml:space="preserve">               （供应商名称）</w:t>
      </w:r>
      <w:r>
        <w:rPr>
          <w:rFonts w:hint="eastAsia" w:ascii="仿宋" w:hAnsi="仿宋" w:eastAsia="仿宋" w:cs="仿宋"/>
          <w:sz w:val="24"/>
          <w:szCs w:val="24"/>
        </w:rPr>
        <w:t>（以下称“供应商”）于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日参加</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（项目名称）</w:t>
      </w:r>
      <w:r>
        <w:rPr>
          <w:rFonts w:hint="eastAsia" w:ascii="仿宋" w:hAnsi="仿宋" w:eastAsia="仿宋" w:cs="仿宋"/>
          <w:color w:val="000000"/>
          <w:sz w:val="24"/>
          <w:szCs w:val="24"/>
          <w:lang w:eastAsia="zh-CN"/>
        </w:rPr>
        <w:t>询比</w:t>
      </w:r>
      <w:r>
        <w:rPr>
          <w:rFonts w:hint="eastAsia" w:ascii="仿宋" w:hAnsi="仿宋" w:eastAsia="仿宋" w:cs="仿宋"/>
          <w:color w:val="000000"/>
          <w:sz w:val="24"/>
          <w:szCs w:val="24"/>
        </w:rPr>
        <w:t>采购活动</w:t>
      </w:r>
      <w:r>
        <w:rPr>
          <w:rFonts w:hint="eastAsia" w:ascii="仿宋" w:hAnsi="仿宋" w:eastAsia="仿宋" w:cs="仿宋"/>
          <w:sz w:val="24"/>
          <w:szCs w:val="24"/>
        </w:rPr>
        <w:t>，</w:t>
      </w:r>
      <w:r>
        <w:rPr>
          <w:rFonts w:hint="eastAsia" w:ascii="仿宋" w:hAnsi="仿宋" w:eastAsia="仿宋" w:cs="仿宋"/>
          <w:sz w:val="24"/>
          <w:szCs w:val="24"/>
          <w:u w:val="single"/>
        </w:rPr>
        <w:t xml:space="preserve">          （担保人名称）</w:t>
      </w:r>
      <w:r>
        <w:rPr>
          <w:rFonts w:hint="eastAsia" w:ascii="仿宋" w:hAnsi="仿宋" w:eastAsia="仿宋" w:cs="仿宋"/>
          <w:sz w:val="24"/>
          <w:szCs w:val="24"/>
        </w:rPr>
        <w:t>（以下称“我方”）无条件地、不可撤销地保证：若供应商在</w:t>
      </w:r>
      <w:r>
        <w:rPr>
          <w:rFonts w:hint="eastAsia" w:ascii="仿宋" w:hAnsi="仿宋" w:eastAsia="仿宋" w:cs="仿宋"/>
          <w:color w:val="000000"/>
          <w:sz w:val="24"/>
          <w:szCs w:val="24"/>
        </w:rPr>
        <w:t>响应文件有效期内</w:t>
      </w:r>
      <w:r>
        <w:rPr>
          <w:rFonts w:hint="eastAsia" w:ascii="仿宋" w:hAnsi="仿宋" w:eastAsia="仿宋" w:cs="仿宋"/>
          <w:sz w:val="24"/>
          <w:szCs w:val="24"/>
        </w:rPr>
        <w:t>撤销响应文件，或成交后无正当理由不与采购人订立合同，或在签订合同时向采购人提出附加条件，或不按照采购文件要求递交履约保证金，或者</w:t>
      </w:r>
      <w:r>
        <w:rPr>
          <w:rFonts w:hint="eastAsia" w:ascii="仿宋" w:hAnsi="仿宋" w:eastAsia="仿宋" w:cs="仿宋"/>
          <w:color w:val="000000"/>
          <w:sz w:val="24"/>
          <w:szCs w:val="24"/>
        </w:rPr>
        <w:t>发生采购文件明确规定可以</w:t>
      </w:r>
      <w:r>
        <w:rPr>
          <w:rFonts w:hint="eastAsia" w:ascii="仿宋" w:hAnsi="仿宋" w:eastAsia="仿宋" w:cs="仿宋"/>
          <w:sz w:val="24"/>
          <w:szCs w:val="24"/>
        </w:rPr>
        <w:t>不予退还</w:t>
      </w:r>
      <w:r>
        <w:rPr>
          <w:rFonts w:hint="eastAsia" w:ascii="仿宋" w:hAnsi="仿宋" w:eastAsia="仿宋" w:cs="仿宋"/>
          <w:color w:val="000000"/>
          <w:sz w:val="24"/>
          <w:szCs w:val="24"/>
        </w:rPr>
        <w:t>响应保证金的其他情形</w:t>
      </w:r>
      <w:r>
        <w:rPr>
          <w:rFonts w:hint="eastAsia" w:ascii="仿宋" w:hAnsi="仿宋" w:eastAsia="仿宋" w:cs="仿宋"/>
          <w:sz w:val="24"/>
          <w:szCs w:val="24"/>
        </w:rPr>
        <w:t>，我方承担保证责任。收到你方书面通知后，我方在7日内向你方无条件支付人民币（大写）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98FA6E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本保函在响应文件有效期内保持有效。要求我方承担保证责任的通知应在响应文件有效期内送达我方。</w:t>
      </w:r>
    </w:p>
    <w:p w14:paraId="72A4D7AB">
      <w:pPr>
        <w:spacing w:line="440" w:lineRule="exact"/>
        <w:rPr>
          <w:rFonts w:hint="eastAsia" w:ascii="仿宋" w:hAnsi="仿宋" w:eastAsia="仿宋" w:cs="仿宋"/>
          <w:sz w:val="24"/>
          <w:szCs w:val="24"/>
        </w:rPr>
      </w:pPr>
    </w:p>
    <w:p w14:paraId="27A26829">
      <w:pPr>
        <w:spacing w:line="440" w:lineRule="exact"/>
        <w:rPr>
          <w:rFonts w:hint="eastAsia" w:ascii="仿宋" w:hAnsi="仿宋" w:eastAsia="仿宋" w:cs="仿宋"/>
          <w:szCs w:val="21"/>
        </w:rPr>
      </w:pPr>
    </w:p>
    <w:p w14:paraId="465710E3">
      <w:pPr>
        <w:spacing w:line="440" w:lineRule="exact"/>
        <w:ind w:firstLine="3208" w:firstLineChars="1528"/>
        <w:jc w:val="right"/>
        <w:rPr>
          <w:rFonts w:hint="eastAsia" w:ascii="仿宋" w:hAnsi="仿宋" w:eastAsia="仿宋" w:cs="仿宋"/>
          <w:szCs w:val="21"/>
        </w:rPr>
      </w:pPr>
    </w:p>
    <w:p w14:paraId="182EED92">
      <w:pPr>
        <w:spacing w:line="440" w:lineRule="exact"/>
        <w:ind w:firstLine="3208" w:firstLineChars="1528"/>
        <w:jc w:val="right"/>
        <w:rPr>
          <w:rFonts w:hint="eastAsia" w:ascii="仿宋" w:hAnsi="仿宋" w:eastAsia="仿宋" w:cs="仿宋"/>
          <w:szCs w:val="21"/>
        </w:rPr>
      </w:pPr>
    </w:p>
    <w:p w14:paraId="152757A4">
      <w:pPr>
        <w:spacing w:line="440" w:lineRule="exact"/>
        <w:ind w:firstLine="2400" w:firstLineChars="1000"/>
        <w:jc w:val="both"/>
        <w:rPr>
          <w:rFonts w:hint="eastAsia" w:ascii="仿宋" w:hAnsi="仿宋" w:eastAsia="仿宋" w:cs="仿宋"/>
          <w:sz w:val="24"/>
          <w:szCs w:val="24"/>
        </w:rPr>
      </w:pPr>
      <w:r>
        <w:rPr>
          <w:rFonts w:hint="eastAsia" w:ascii="仿宋" w:hAnsi="仿宋" w:eastAsia="仿宋" w:cs="仿宋"/>
          <w:sz w:val="24"/>
          <w:szCs w:val="24"/>
        </w:rPr>
        <w:t>担保人名称：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（盖单位章）</w:t>
      </w:r>
    </w:p>
    <w:p w14:paraId="1BB4A1B2">
      <w:pPr>
        <w:spacing w:line="440" w:lineRule="exact"/>
        <w:ind w:firstLine="2400" w:firstLineChars="1000"/>
        <w:jc w:val="both"/>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p w14:paraId="0538B3A7">
      <w:pPr>
        <w:spacing w:line="440" w:lineRule="exact"/>
        <w:ind w:firstLine="2400" w:firstLineChars="1000"/>
        <w:jc w:val="both"/>
        <w:rPr>
          <w:rFonts w:hint="eastAsia" w:ascii="仿宋" w:hAnsi="仿宋" w:eastAsia="仿宋" w:cs="仿宋"/>
          <w:sz w:val="24"/>
          <w:szCs w:val="24"/>
        </w:rPr>
      </w:pPr>
      <w:bookmarkStart w:id="584" w:name="_Toc352691667"/>
      <w:bookmarkStart w:id="585" w:name="_Toc22972"/>
      <w:bookmarkStart w:id="586" w:name="_Toc369531703"/>
      <w:bookmarkStart w:id="587" w:name="_Toc384308382"/>
      <w:bookmarkStart w:id="588" w:name="_Toc361508758"/>
      <w:r>
        <w:rPr>
          <w:rFonts w:hint="eastAsia" w:ascii="仿宋" w:hAnsi="仿宋" w:eastAsia="仿宋" w:cs="仿宋"/>
          <w:sz w:val="24"/>
          <w:szCs w:val="24"/>
        </w:rPr>
        <w:t>电</w:t>
      </w:r>
      <w:bookmarkEnd w:id="584"/>
      <w:bookmarkEnd w:id="585"/>
      <w:bookmarkEnd w:id="586"/>
      <w:bookmarkEnd w:id="587"/>
      <w:bookmarkEnd w:id="588"/>
      <w:r>
        <w:rPr>
          <w:rFonts w:hint="eastAsia" w:ascii="仿宋" w:hAnsi="仿宋" w:eastAsia="仿宋" w:cs="仿宋"/>
          <w:sz w:val="24"/>
          <w:szCs w:val="24"/>
        </w:rPr>
        <w:t xml:space="preserve">     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396E09CC">
      <w:pPr>
        <w:spacing w:line="440" w:lineRule="exact"/>
        <w:ind w:firstLine="4027" w:firstLineChars="1678"/>
        <w:jc w:val="right"/>
        <w:rPr>
          <w:rFonts w:hint="eastAsia" w:ascii="仿宋" w:hAnsi="仿宋" w:eastAsia="仿宋" w:cs="仿宋"/>
          <w:sz w:val="24"/>
          <w:szCs w:val="24"/>
          <w:u w:val="single"/>
        </w:rPr>
      </w:pPr>
    </w:p>
    <w:p w14:paraId="31E6F66B">
      <w:pPr>
        <w:topLinePunct/>
        <w:spacing w:line="440" w:lineRule="exact"/>
        <w:ind w:firstLine="5040" w:firstLineChars="2100"/>
        <w:jc w:val="both"/>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21AFE515">
      <w:pPr>
        <w:spacing w:line="440" w:lineRule="exact"/>
        <w:ind w:firstLine="2467" w:firstLineChars="1028"/>
        <w:jc w:val="right"/>
        <w:rPr>
          <w:rFonts w:hint="eastAsia" w:ascii="仿宋" w:hAnsi="仿宋" w:eastAsia="仿宋" w:cs="仿宋"/>
          <w:color w:val="000000"/>
          <w:sz w:val="24"/>
          <w:szCs w:val="24"/>
          <w:u w:val="single"/>
        </w:rPr>
      </w:pPr>
    </w:p>
    <w:p w14:paraId="7868E4AA">
      <w:pPr>
        <w:spacing w:line="440" w:lineRule="exact"/>
        <w:ind w:firstLine="2158" w:firstLineChars="1028"/>
        <w:rPr>
          <w:rFonts w:hint="eastAsia" w:ascii="仿宋" w:hAnsi="仿宋" w:eastAsia="仿宋" w:cs="仿宋"/>
          <w:color w:val="000000"/>
        </w:rPr>
      </w:pPr>
    </w:p>
    <w:p w14:paraId="68F01925">
      <w:pPr>
        <w:rPr>
          <w:rFonts w:hint="eastAsia" w:ascii="仿宋" w:hAnsi="仿宋" w:eastAsia="仿宋" w:cs="仿宋"/>
        </w:rPr>
      </w:pPr>
      <w:bookmarkStart w:id="589" w:name="_Toc501460791"/>
      <w:r>
        <w:rPr>
          <w:rFonts w:hint="eastAsia" w:ascii="仿宋" w:hAnsi="仿宋" w:eastAsia="仿宋" w:cs="仿宋"/>
        </w:rPr>
        <w:br w:type="page"/>
      </w:r>
    </w:p>
    <w:p w14:paraId="5A391BAE">
      <w:pPr>
        <w:pStyle w:val="3"/>
        <w:jc w:val="center"/>
        <w:rPr>
          <w:rFonts w:hint="eastAsia" w:ascii="仿宋" w:hAnsi="仿宋" w:eastAsia="仿宋" w:cs="仿宋"/>
        </w:rPr>
      </w:pPr>
      <w:bookmarkStart w:id="590" w:name="_Toc4843"/>
      <w:r>
        <w:rPr>
          <w:rFonts w:hint="eastAsia" w:ascii="仿宋" w:hAnsi="仿宋" w:eastAsia="仿宋" w:cs="仿宋"/>
        </w:rPr>
        <w:t>五、商务和技术偏差表</w:t>
      </w:r>
      <w:bookmarkEnd w:id="589"/>
      <w:bookmarkEnd w:id="590"/>
    </w:p>
    <w:p w14:paraId="0A19AEB8">
      <w:pPr>
        <w:pStyle w:val="4"/>
        <w:spacing w:before="120" w:after="120" w:line="360" w:lineRule="auto"/>
        <w:ind w:firstLine="0" w:firstLineChars="0"/>
        <w:jc w:val="center"/>
        <w:rPr>
          <w:rFonts w:hint="eastAsia" w:ascii="仿宋" w:hAnsi="仿宋" w:eastAsia="仿宋" w:cs="仿宋"/>
          <w:bCs/>
          <w:color w:val="auto"/>
          <w:kern w:val="0"/>
          <w:sz w:val="24"/>
          <w:szCs w:val="20"/>
        </w:rPr>
      </w:pPr>
      <w:bookmarkStart w:id="591" w:name="_Toc31750"/>
      <w:bookmarkStart w:id="592" w:name="_Toc17210"/>
      <w:bookmarkStart w:id="593" w:name="_Toc28135"/>
      <w:r>
        <w:rPr>
          <w:rFonts w:hint="eastAsia" w:ascii="仿宋" w:hAnsi="仿宋" w:eastAsia="仿宋" w:cs="仿宋"/>
          <w:bCs/>
          <w:color w:val="auto"/>
          <w:kern w:val="0"/>
          <w:sz w:val="24"/>
          <w:szCs w:val="20"/>
          <w:lang w:eastAsia="zh-CN"/>
        </w:rPr>
        <w:t>（</w:t>
      </w:r>
      <w:r>
        <w:rPr>
          <w:rFonts w:hint="eastAsia" w:ascii="仿宋" w:hAnsi="仿宋" w:eastAsia="仿宋" w:cs="仿宋"/>
          <w:bCs/>
          <w:color w:val="auto"/>
          <w:kern w:val="0"/>
          <w:sz w:val="24"/>
          <w:szCs w:val="20"/>
          <w:lang w:val="en-US" w:eastAsia="zh-CN"/>
        </w:rPr>
        <w:t>一</w:t>
      </w:r>
      <w:r>
        <w:rPr>
          <w:rFonts w:hint="eastAsia" w:ascii="仿宋" w:hAnsi="仿宋" w:eastAsia="仿宋" w:cs="仿宋"/>
          <w:bCs/>
          <w:color w:val="auto"/>
          <w:kern w:val="0"/>
          <w:sz w:val="24"/>
          <w:szCs w:val="20"/>
          <w:lang w:eastAsia="zh-CN"/>
        </w:rPr>
        <w:t>）</w:t>
      </w:r>
      <w:r>
        <w:rPr>
          <w:rFonts w:hint="eastAsia" w:ascii="仿宋" w:hAnsi="仿宋" w:eastAsia="仿宋" w:cs="仿宋"/>
          <w:bCs/>
          <w:color w:val="auto"/>
          <w:kern w:val="0"/>
          <w:sz w:val="24"/>
          <w:szCs w:val="20"/>
        </w:rPr>
        <w:t>商务条款偏差表</w:t>
      </w:r>
      <w:bookmarkEnd w:id="591"/>
      <w:bookmarkEnd w:id="592"/>
      <w:bookmarkEnd w:id="593"/>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14:paraId="2CD3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14:paraId="45F75D8B">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序号</w:t>
            </w:r>
          </w:p>
        </w:tc>
        <w:tc>
          <w:tcPr>
            <w:tcW w:w="2821" w:type="dxa"/>
            <w:gridSpan w:val="2"/>
            <w:noWrap w:val="0"/>
            <w:vAlign w:val="center"/>
          </w:tcPr>
          <w:p w14:paraId="6B3EDDE3">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kern w:val="0"/>
                <w:sz w:val="24"/>
                <w:szCs w:val="24"/>
              </w:rPr>
              <w:t>采购文件</w:t>
            </w:r>
            <w:r>
              <w:rPr>
                <w:rFonts w:hint="eastAsia" w:ascii="仿宋" w:hAnsi="仿宋" w:eastAsia="仿宋" w:cs="仿宋"/>
                <w:b w:val="0"/>
                <w:bCs/>
                <w:color w:val="auto"/>
                <w:sz w:val="24"/>
                <w:szCs w:val="24"/>
              </w:rPr>
              <w:t>要求</w:t>
            </w:r>
          </w:p>
        </w:tc>
        <w:tc>
          <w:tcPr>
            <w:tcW w:w="2977" w:type="dxa"/>
            <w:gridSpan w:val="2"/>
            <w:noWrap w:val="0"/>
            <w:vAlign w:val="center"/>
          </w:tcPr>
          <w:p w14:paraId="0FD74FD1">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kern w:val="0"/>
                <w:sz w:val="24"/>
                <w:szCs w:val="24"/>
              </w:rPr>
              <w:t>响应文件</w:t>
            </w:r>
            <w:r>
              <w:rPr>
                <w:rFonts w:hint="eastAsia" w:ascii="仿宋" w:hAnsi="仿宋" w:eastAsia="仿宋" w:cs="仿宋"/>
                <w:b w:val="0"/>
                <w:bCs/>
                <w:color w:val="auto"/>
                <w:sz w:val="24"/>
                <w:szCs w:val="24"/>
              </w:rPr>
              <w:t>响应</w:t>
            </w:r>
          </w:p>
        </w:tc>
        <w:tc>
          <w:tcPr>
            <w:tcW w:w="1506" w:type="dxa"/>
            <w:vMerge w:val="restart"/>
            <w:noWrap w:val="0"/>
            <w:vAlign w:val="center"/>
          </w:tcPr>
          <w:p w14:paraId="7F65C405">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偏差说明</w:t>
            </w:r>
          </w:p>
        </w:tc>
      </w:tr>
      <w:tr w14:paraId="3C66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925" w:type="dxa"/>
            <w:vMerge w:val="continue"/>
            <w:noWrap w:val="0"/>
            <w:vAlign w:val="center"/>
          </w:tcPr>
          <w:p w14:paraId="61FD6242">
            <w:pPr>
              <w:widowControl/>
              <w:snapToGrid w:val="0"/>
              <w:spacing w:line="360" w:lineRule="auto"/>
              <w:jc w:val="center"/>
              <w:rPr>
                <w:rFonts w:hint="eastAsia" w:ascii="仿宋" w:hAnsi="仿宋" w:eastAsia="仿宋" w:cs="仿宋"/>
                <w:b w:val="0"/>
                <w:bCs/>
                <w:color w:val="auto"/>
                <w:sz w:val="24"/>
                <w:szCs w:val="24"/>
              </w:rPr>
            </w:pPr>
          </w:p>
        </w:tc>
        <w:tc>
          <w:tcPr>
            <w:tcW w:w="1545" w:type="dxa"/>
            <w:noWrap w:val="0"/>
            <w:vAlign w:val="center"/>
          </w:tcPr>
          <w:p w14:paraId="32A9FDFA">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章节及条款号</w:t>
            </w:r>
          </w:p>
        </w:tc>
        <w:tc>
          <w:tcPr>
            <w:tcW w:w="1276" w:type="dxa"/>
            <w:noWrap w:val="0"/>
            <w:vAlign w:val="center"/>
          </w:tcPr>
          <w:p w14:paraId="68E529B7">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具体要求</w:t>
            </w:r>
          </w:p>
        </w:tc>
        <w:tc>
          <w:tcPr>
            <w:tcW w:w="1559" w:type="dxa"/>
            <w:noWrap w:val="0"/>
            <w:vAlign w:val="center"/>
          </w:tcPr>
          <w:p w14:paraId="546DEF5F">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章节及条款号</w:t>
            </w:r>
          </w:p>
        </w:tc>
        <w:tc>
          <w:tcPr>
            <w:tcW w:w="1418" w:type="dxa"/>
            <w:noWrap w:val="0"/>
            <w:vAlign w:val="center"/>
          </w:tcPr>
          <w:p w14:paraId="5931D6E1">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具体内容</w:t>
            </w:r>
          </w:p>
        </w:tc>
        <w:tc>
          <w:tcPr>
            <w:tcW w:w="1506" w:type="dxa"/>
            <w:vMerge w:val="continue"/>
            <w:noWrap w:val="0"/>
            <w:vAlign w:val="center"/>
          </w:tcPr>
          <w:p w14:paraId="39FE79B6">
            <w:pPr>
              <w:widowControl/>
              <w:snapToGrid w:val="0"/>
              <w:spacing w:line="360" w:lineRule="auto"/>
              <w:jc w:val="center"/>
              <w:rPr>
                <w:rFonts w:hint="eastAsia" w:ascii="仿宋" w:hAnsi="仿宋" w:eastAsia="仿宋" w:cs="仿宋"/>
                <w:b w:val="0"/>
                <w:bCs/>
                <w:color w:val="auto"/>
                <w:sz w:val="24"/>
                <w:szCs w:val="24"/>
              </w:rPr>
            </w:pPr>
          </w:p>
        </w:tc>
      </w:tr>
      <w:tr w14:paraId="3212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14:paraId="741061F1">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1545" w:type="dxa"/>
            <w:noWrap w:val="0"/>
            <w:vAlign w:val="center"/>
          </w:tcPr>
          <w:p w14:paraId="5D2BDB4D">
            <w:pPr>
              <w:widowControl/>
              <w:snapToGrid w:val="0"/>
              <w:spacing w:line="360" w:lineRule="auto"/>
              <w:jc w:val="center"/>
              <w:rPr>
                <w:rFonts w:hint="eastAsia" w:ascii="仿宋" w:hAnsi="仿宋" w:eastAsia="仿宋" w:cs="仿宋"/>
                <w:b w:val="0"/>
                <w:bCs/>
                <w:color w:val="auto"/>
                <w:sz w:val="24"/>
                <w:szCs w:val="24"/>
              </w:rPr>
            </w:pPr>
          </w:p>
        </w:tc>
        <w:tc>
          <w:tcPr>
            <w:tcW w:w="1276" w:type="dxa"/>
            <w:noWrap w:val="0"/>
            <w:vAlign w:val="center"/>
          </w:tcPr>
          <w:p w14:paraId="1D379BFE">
            <w:pPr>
              <w:widowControl/>
              <w:snapToGrid w:val="0"/>
              <w:spacing w:line="360" w:lineRule="auto"/>
              <w:jc w:val="center"/>
              <w:rPr>
                <w:rFonts w:hint="eastAsia" w:ascii="仿宋" w:hAnsi="仿宋" w:eastAsia="仿宋" w:cs="仿宋"/>
                <w:b w:val="0"/>
                <w:bCs/>
                <w:color w:val="auto"/>
                <w:sz w:val="24"/>
                <w:szCs w:val="24"/>
              </w:rPr>
            </w:pPr>
          </w:p>
        </w:tc>
        <w:tc>
          <w:tcPr>
            <w:tcW w:w="1559" w:type="dxa"/>
            <w:noWrap w:val="0"/>
            <w:vAlign w:val="center"/>
          </w:tcPr>
          <w:p w14:paraId="150FDF63">
            <w:pPr>
              <w:widowControl/>
              <w:snapToGrid w:val="0"/>
              <w:spacing w:line="360" w:lineRule="auto"/>
              <w:jc w:val="center"/>
              <w:rPr>
                <w:rFonts w:hint="eastAsia" w:ascii="仿宋" w:hAnsi="仿宋" w:eastAsia="仿宋" w:cs="仿宋"/>
                <w:b w:val="0"/>
                <w:bCs/>
                <w:color w:val="auto"/>
                <w:sz w:val="24"/>
                <w:szCs w:val="24"/>
              </w:rPr>
            </w:pPr>
          </w:p>
        </w:tc>
        <w:tc>
          <w:tcPr>
            <w:tcW w:w="1418" w:type="dxa"/>
            <w:noWrap w:val="0"/>
            <w:vAlign w:val="center"/>
          </w:tcPr>
          <w:p w14:paraId="40C134DE">
            <w:pPr>
              <w:widowControl/>
              <w:snapToGrid w:val="0"/>
              <w:spacing w:line="360" w:lineRule="auto"/>
              <w:jc w:val="center"/>
              <w:rPr>
                <w:rFonts w:hint="eastAsia" w:ascii="仿宋" w:hAnsi="仿宋" w:eastAsia="仿宋" w:cs="仿宋"/>
                <w:b w:val="0"/>
                <w:bCs/>
                <w:color w:val="auto"/>
                <w:sz w:val="24"/>
                <w:szCs w:val="24"/>
              </w:rPr>
            </w:pPr>
          </w:p>
        </w:tc>
        <w:tc>
          <w:tcPr>
            <w:tcW w:w="1506" w:type="dxa"/>
            <w:noWrap w:val="0"/>
            <w:vAlign w:val="center"/>
          </w:tcPr>
          <w:p w14:paraId="113B40AB">
            <w:pPr>
              <w:widowControl/>
              <w:snapToGrid w:val="0"/>
              <w:spacing w:line="360" w:lineRule="auto"/>
              <w:jc w:val="center"/>
              <w:rPr>
                <w:rFonts w:hint="eastAsia" w:ascii="仿宋" w:hAnsi="仿宋" w:eastAsia="仿宋" w:cs="仿宋"/>
                <w:b w:val="0"/>
                <w:bCs/>
                <w:color w:val="auto"/>
                <w:sz w:val="24"/>
                <w:szCs w:val="24"/>
              </w:rPr>
            </w:pPr>
          </w:p>
        </w:tc>
      </w:tr>
      <w:tr w14:paraId="7100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14:paraId="4FBB7555">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c>
          <w:tcPr>
            <w:tcW w:w="1545" w:type="dxa"/>
            <w:noWrap w:val="0"/>
            <w:vAlign w:val="center"/>
          </w:tcPr>
          <w:p w14:paraId="7B0BF4DC">
            <w:pPr>
              <w:widowControl/>
              <w:snapToGrid w:val="0"/>
              <w:spacing w:line="360" w:lineRule="auto"/>
              <w:jc w:val="center"/>
              <w:rPr>
                <w:rFonts w:hint="eastAsia" w:ascii="仿宋" w:hAnsi="仿宋" w:eastAsia="仿宋" w:cs="仿宋"/>
                <w:b w:val="0"/>
                <w:bCs/>
                <w:color w:val="auto"/>
                <w:sz w:val="24"/>
                <w:szCs w:val="24"/>
              </w:rPr>
            </w:pPr>
          </w:p>
        </w:tc>
        <w:tc>
          <w:tcPr>
            <w:tcW w:w="1276" w:type="dxa"/>
            <w:noWrap w:val="0"/>
            <w:vAlign w:val="center"/>
          </w:tcPr>
          <w:p w14:paraId="2A30ABC3">
            <w:pPr>
              <w:widowControl/>
              <w:snapToGrid w:val="0"/>
              <w:spacing w:line="360" w:lineRule="auto"/>
              <w:jc w:val="center"/>
              <w:rPr>
                <w:rFonts w:hint="eastAsia" w:ascii="仿宋" w:hAnsi="仿宋" w:eastAsia="仿宋" w:cs="仿宋"/>
                <w:b w:val="0"/>
                <w:bCs/>
                <w:color w:val="auto"/>
                <w:sz w:val="24"/>
                <w:szCs w:val="24"/>
              </w:rPr>
            </w:pPr>
          </w:p>
        </w:tc>
        <w:tc>
          <w:tcPr>
            <w:tcW w:w="1559" w:type="dxa"/>
            <w:noWrap w:val="0"/>
            <w:vAlign w:val="center"/>
          </w:tcPr>
          <w:p w14:paraId="4D3F61FE">
            <w:pPr>
              <w:widowControl/>
              <w:snapToGrid w:val="0"/>
              <w:spacing w:line="360" w:lineRule="auto"/>
              <w:jc w:val="center"/>
              <w:rPr>
                <w:rFonts w:hint="eastAsia" w:ascii="仿宋" w:hAnsi="仿宋" w:eastAsia="仿宋" w:cs="仿宋"/>
                <w:b w:val="0"/>
                <w:bCs/>
                <w:color w:val="auto"/>
                <w:sz w:val="24"/>
                <w:szCs w:val="24"/>
              </w:rPr>
            </w:pPr>
          </w:p>
        </w:tc>
        <w:tc>
          <w:tcPr>
            <w:tcW w:w="1418" w:type="dxa"/>
            <w:noWrap w:val="0"/>
            <w:vAlign w:val="center"/>
          </w:tcPr>
          <w:p w14:paraId="1880333F">
            <w:pPr>
              <w:widowControl/>
              <w:snapToGrid w:val="0"/>
              <w:spacing w:line="360" w:lineRule="auto"/>
              <w:jc w:val="center"/>
              <w:rPr>
                <w:rFonts w:hint="eastAsia" w:ascii="仿宋" w:hAnsi="仿宋" w:eastAsia="仿宋" w:cs="仿宋"/>
                <w:b w:val="0"/>
                <w:bCs/>
                <w:color w:val="auto"/>
                <w:sz w:val="24"/>
                <w:szCs w:val="24"/>
              </w:rPr>
            </w:pPr>
          </w:p>
        </w:tc>
        <w:tc>
          <w:tcPr>
            <w:tcW w:w="1506" w:type="dxa"/>
            <w:noWrap w:val="0"/>
            <w:vAlign w:val="center"/>
          </w:tcPr>
          <w:p w14:paraId="3F2C9DF8">
            <w:pPr>
              <w:widowControl/>
              <w:snapToGrid w:val="0"/>
              <w:spacing w:line="360" w:lineRule="auto"/>
              <w:jc w:val="center"/>
              <w:rPr>
                <w:rFonts w:hint="eastAsia" w:ascii="仿宋" w:hAnsi="仿宋" w:eastAsia="仿宋" w:cs="仿宋"/>
                <w:b w:val="0"/>
                <w:bCs/>
                <w:color w:val="auto"/>
                <w:sz w:val="24"/>
                <w:szCs w:val="24"/>
              </w:rPr>
            </w:pPr>
          </w:p>
        </w:tc>
      </w:tr>
      <w:tr w14:paraId="21D8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14:paraId="66D0E971">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w:t>
            </w:r>
          </w:p>
        </w:tc>
        <w:tc>
          <w:tcPr>
            <w:tcW w:w="1545" w:type="dxa"/>
            <w:noWrap w:val="0"/>
            <w:vAlign w:val="center"/>
          </w:tcPr>
          <w:p w14:paraId="6F78B8F3">
            <w:pPr>
              <w:widowControl/>
              <w:snapToGrid w:val="0"/>
              <w:spacing w:line="360" w:lineRule="auto"/>
              <w:jc w:val="center"/>
              <w:rPr>
                <w:rFonts w:hint="eastAsia" w:ascii="仿宋" w:hAnsi="仿宋" w:eastAsia="仿宋" w:cs="仿宋"/>
                <w:b w:val="0"/>
                <w:bCs/>
                <w:color w:val="auto"/>
                <w:sz w:val="24"/>
                <w:szCs w:val="24"/>
              </w:rPr>
            </w:pPr>
          </w:p>
        </w:tc>
        <w:tc>
          <w:tcPr>
            <w:tcW w:w="1276" w:type="dxa"/>
            <w:noWrap w:val="0"/>
            <w:vAlign w:val="center"/>
          </w:tcPr>
          <w:p w14:paraId="0423D0CC">
            <w:pPr>
              <w:widowControl/>
              <w:snapToGrid w:val="0"/>
              <w:spacing w:line="360" w:lineRule="auto"/>
              <w:jc w:val="center"/>
              <w:rPr>
                <w:rFonts w:hint="eastAsia" w:ascii="仿宋" w:hAnsi="仿宋" w:eastAsia="仿宋" w:cs="仿宋"/>
                <w:b w:val="0"/>
                <w:bCs/>
                <w:color w:val="auto"/>
                <w:sz w:val="24"/>
                <w:szCs w:val="24"/>
              </w:rPr>
            </w:pPr>
          </w:p>
        </w:tc>
        <w:tc>
          <w:tcPr>
            <w:tcW w:w="1559" w:type="dxa"/>
            <w:noWrap w:val="0"/>
            <w:vAlign w:val="center"/>
          </w:tcPr>
          <w:p w14:paraId="7BB855C3">
            <w:pPr>
              <w:widowControl/>
              <w:snapToGrid w:val="0"/>
              <w:spacing w:line="360" w:lineRule="auto"/>
              <w:jc w:val="center"/>
              <w:rPr>
                <w:rFonts w:hint="eastAsia" w:ascii="仿宋" w:hAnsi="仿宋" w:eastAsia="仿宋" w:cs="仿宋"/>
                <w:b w:val="0"/>
                <w:bCs/>
                <w:color w:val="auto"/>
                <w:sz w:val="24"/>
                <w:szCs w:val="24"/>
              </w:rPr>
            </w:pPr>
          </w:p>
        </w:tc>
        <w:tc>
          <w:tcPr>
            <w:tcW w:w="1418" w:type="dxa"/>
            <w:noWrap w:val="0"/>
            <w:vAlign w:val="center"/>
          </w:tcPr>
          <w:p w14:paraId="57B735D9">
            <w:pPr>
              <w:widowControl/>
              <w:snapToGrid w:val="0"/>
              <w:spacing w:line="360" w:lineRule="auto"/>
              <w:jc w:val="center"/>
              <w:rPr>
                <w:rFonts w:hint="eastAsia" w:ascii="仿宋" w:hAnsi="仿宋" w:eastAsia="仿宋" w:cs="仿宋"/>
                <w:b w:val="0"/>
                <w:bCs/>
                <w:color w:val="auto"/>
                <w:sz w:val="24"/>
                <w:szCs w:val="24"/>
              </w:rPr>
            </w:pPr>
          </w:p>
        </w:tc>
        <w:tc>
          <w:tcPr>
            <w:tcW w:w="1506" w:type="dxa"/>
            <w:noWrap w:val="0"/>
            <w:vAlign w:val="center"/>
          </w:tcPr>
          <w:p w14:paraId="5DE68CF6">
            <w:pPr>
              <w:widowControl/>
              <w:snapToGrid w:val="0"/>
              <w:spacing w:line="360" w:lineRule="auto"/>
              <w:jc w:val="center"/>
              <w:rPr>
                <w:rFonts w:hint="eastAsia" w:ascii="仿宋" w:hAnsi="仿宋" w:eastAsia="仿宋" w:cs="仿宋"/>
                <w:b w:val="0"/>
                <w:bCs/>
                <w:color w:val="auto"/>
                <w:sz w:val="24"/>
                <w:szCs w:val="24"/>
              </w:rPr>
            </w:pPr>
          </w:p>
        </w:tc>
      </w:tr>
      <w:tr w14:paraId="47AE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14:paraId="4AD7E251">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c>
          <w:tcPr>
            <w:tcW w:w="1545" w:type="dxa"/>
            <w:noWrap w:val="0"/>
            <w:vAlign w:val="center"/>
          </w:tcPr>
          <w:p w14:paraId="0360CF7C">
            <w:pPr>
              <w:widowControl/>
              <w:snapToGrid w:val="0"/>
              <w:spacing w:line="360" w:lineRule="auto"/>
              <w:jc w:val="center"/>
              <w:rPr>
                <w:rFonts w:hint="eastAsia" w:ascii="仿宋" w:hAnsi="仿宋" w:eastAsia="仿宋" w:cs="仿宋"/>
                <w:b w:val="0"/>
                <w:bCs/>
                <w:color w:val="auto"/>
                <w:sz w:val="24"/>
                <w:szCs w:val="24"/>
              </w:rPr>
            </w:pPr>
          </w:p>
        </w:tc>
        <w:tc>
          <w:tcPr>
            <w:tcW w:w="1276" w:type="dxa"/>
            <w:noWrap w:val="0"/>
            <w:vAlign w:val="center"/>
          </w:tcPr>
          <w:p w14:paraId="746ADFE1">
            <w:pPr>
              <w:widowControl/>
              <w:snapToGrid w:val="0"/>
              <w:spacing w:line="360" w:lineRule="auto"/>
              <w:jc w:val="center"/>
              <w:rPr>
                <w:rFonts w:hint="eastAsia" w:ascii="仿宋" w:hAnsi="仿宋" w:eastAsia="仿宋" w:cs="仿宋"/>
                <w:b w:val="0"/>
                <w:bCs/>
                <w:color w:val="auto"/>
                <w:sz w:val="24"/>
                <w:szCs w:val="24"/>
              </w:rPr>
            </w:pPr>
          </w:p>
        </w:tc>
        <w:tc>
          <w:tcPr>
            <w:tcW w:w="1559" w:type="dxa"/>
            <w:noWrap w:val="0"/>
            <w:vAlign w:val="center"/>
          </w:tcPr>
          <w:p w14:paraId="6350E9CC">
            <w:pPr>
              <w:widowControl/>
              <w:snapToGrid w:val="0"/>
              <w:spacing w:line="360" w:lineRule="auto"/>
              <w:jc w:val="center"/>
              <w:rPr>
                <w:rFonts w:hint="eastAsia" w:ascii="仿宋" w:hAnsi="仿宋" w:eastAsia="仿宋" w:cs="仿宋"/>
                <w:b w:val="0"/>
                <w:bCs/>
                <w:color w:val="auto"/>
                <w:sz w:val="24"/>
                <w:szCs w:val="24"/>
              </w:rPr>
            </w:pPr>
          </w:p>
        </w:tc>
        <w:tc>
          <w:tcPr>
            <w:tcW w:w="1418" w:type="dxa"/>
            <w:noWrap w:val="0"/>
            <w:vAlign w:val="center"/>
          </w:tcPr>
          <w:p w14:paraId="0978AF8C">
            <w:pPr>
              <w:widowControl/>
              <w:snapToGrid w:val="0"/>
              <w:spacing w:line="360" w:lineRule="auto"/>
              <w:jc w:val="center"/>
              <w:rPr>
                <w:rFonts w:hint="eastAsia" w:ascii="仿宋" w:hAnsi="仿宋" w:eastAsia="仿宋" w:cs="仿宋"/>
                <w:b w:val="0"/>
                <w:bCs/>
                <w:color w:val="auto"/>
                <w:sz w:val="24"/>
                <w:szCs w:val="24"/>
              </w:rPr>
            </w:pPr>
          </w:p>
        </w:tc>
        <w:tc>
          <w:tcPr>
            <w:tcW w:w="1506" w:type="dxa"/>
            <w:noWrap w:val="0"/>
            <w:vAlign w:val="center"/>
          </w:tcPr>
          <w:p w14:paraId="59787C4A">
            <w:pPr>
              <w:widowControl/>
              <w:snapToGrid w:val="0"/>
              <w:spacing w:line="360" w:lineRule="auto"/>
              <w:jc w:val="center"/>
              <w:rPr>
                <w:rFonts w:hint="eastAsia" w:ascii="仿宋" w:hAnsi="仿宋" w:eastAsia="仿宋" w:cs="仿宋"/>
                <w:b w:val="0"/>
                <w:bCs/>
                <w:color w:val="auto"/>
                <w:sz w:val="24"/>
                <w:szCs w:val="24"/>
              </w:rPr>
            </w:pPr>
          </w:p>
        </w:tc>
      </w:tr>
      <w:tr w14:paraId="3EAD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14:paraId="5B0F30C6">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1545" w:type="dxa"/>
            <w:noWrap w:val="0"/>
            <w:vAlign w:val="center"/>
          </w:tcPr>
          <w:p w14:paraId="143AB8F3">
            <w:pPr>
              <w:widowControl/>
              <w:snapToGrid w:val="0"/>
              <w:spacing w:line="360" w:lineRule="auto"/>
              <w:jc w:val="center"/>
              <w:rPr>
                <w:rFonts w:hint="eastAsia" w:ascii="仿宋" w:hAnsi="仿宋" w:eastAsia="仿宋" w:cs="仿宋"/>
                <w:b w:val="0"/>
                <w:bCs/>
                <w:color w:val="auto"/>
                <w:sz w:val="24"/>
                <w:szCs w:val="24"/>
              </w:rPr>
            </w:pPr>
          </w:p>
        </w:tc>
        <w:tc>
          <w:tcPr>
            <w:tcW w:w="1276" w:type="dxa"/>
            <w:noWrap w:val="0"/>
            <w:vAlign w:val="center"/>
          </w:tcPr>
          <w:p w14:paraId="20B1D600">
            <w:pPr>
              <w:widowControl/>
              <w:snapToGrid w:val="0"/>
              <w:spacing w:line="360" w:lineRule="auto"/>
              <w:jc w:val="center"/>
              <w:rPr>
                <w:rFonts w:hint="eastAsia" w:ascii="仿宋" w:hAnsi="仿宋" w:eastAsia="仿宋" w:cs="仿宋"/>
                <w:b w:val="0"/>
                <w:bCs/>
                <w:color w:val="auto"/>
                <w:sz w:val="24"/>
                <w:szCs w:val="24"/>
              </w:rPr>
            </w:pPr>
          </w:p>
        </w:tc>
        <w:tc>
          <w:tcPr>
            <w:tcW w:w="1559" w:type="dxa"/>
            <w:noWrap w:val="0"/>
            <w:vAlign w:val="center"/>
          </w:tcPr>
          <w:p w14:paraId="3C57947E">
            <w:pPr>
              <w:widowControl/>
              <w:snapToGrid w:val="0"/>
              <w:spacing w:line="360" w:lineRule="auto"/>
              <w:jc w:val="center"/>
              <w:rPr>
                <w:rFonts w:hint="eastAsia" w:ascii="仿宋" w:hAnsi="仿宋" w:eastAsia="仿宋" w:cs="仿宋"/>
                <w:b w:val="0"/>
                <w:bCs/>
                <w:color w:val="auto"/>
                <w:sz w:val="24"/>
                <w:szCs w:val="24"/>
              </w:rPr>
            </w:pPr>
          </w:p>
        </w:tc>
        <w:tc>
          <w:tcPr>
            <w:tcW w:w="1418" w:type="dxa"/>
            <w:noWrap w:val="0"/>
            <w:vAlign w:val="center"/>
          </w:tcPr>
          <w:p w14:paraId="4E4C9C17">
            <w:pPr>
              <w:widowControl/>
              <w:snapToGrid w:val="0"/>
              <w:spacing w:line="360" w:lineRule="auto"/>
              <w:jc w:val="center"/>
              <w:rPr>
                <w:rFonts w:hint="eastAsia" w:ascii="仿宋" w:hAnsi="仿宋" w:eastAsia="仿宋" w:cs="仿宋"/>
                <w:b w:val="0"/>
                <w:bCs/>
                <w:color w:val="auto"/>
                <w:sz w:val="24"/>
                <w:szCs w:val="24"/>
              </w:rPr>
            </w:pPr>
          </w:p>
        </w:tc>
        <w:tc>
          <w:tcPr>
            <w:tcW w:w="1506" w:type="dxa"/>
            <w:noWrap w:val="0"/>
            <w:vAlign w:val="center"/>
          </w:tcPr>
          <w:p w14:paraId="12F64E59">
            <w:pPr>
              <w:widowControl/>
              <w:snapToGrid w:val="0"/>
              <w:spacing w:line="360" w:lineRule="auto"/>
              <w:jc w:val="center"/>
              <w:rPr>
                <w:rFonts w:hint="eastAsia" w:ascii="仿宋" w:hAnsi="仿宋" w:eastAsia="仿宋" w:cs="仿宋"/>
                <w:b w:val="0"/>
                <w:bCs/>
                <w:color w:val="auto"/>
                <w:sz w:val="24"/>
                <w:szCs w:val="24"/>
              </w:rPr>
            </w:pPr>
          </w:p>
        </w:tc>
      </w:tr>
    </w:tbl>
    <w:p w14:paraId="5F95CD43">
      <w:pPr>
        <w:spacing w:line="360" w:lineRule="auto"/>
        <w:rPr>
          <w:rFonts w:hint="eastAsia" w:ascii="仿宋" w:hAnsi="仿宋" w:eastAsia="仿宋" w:cs="仿宋"/>
          <w:color w:val="auto"/>
        </w:rPr>
      </w:pPr>
    </w:p>
    <w:p w14:paraId="55DFE0AB">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w:t>
      </w:r>
      <w:r>
        <w:rPr>
          <w:rFonts w:hint="eastAsia" w:ascii="仿宋" w:hAnsi="仿宋" w:eastAsia="仿宋" w:cs="仿宋"/>
          <w:sz w:val="24"/>
          <w:szCs w:val="24"/>
        </w:rPr>
        <w:t>供应商</w:t>
      </w:r>
      <w:r>
        <w:rPr>
          <w:rFonts w:hint="eastAsia" w:ascii="仿宋" w:hAnsi="仿宋" w:eastAsia="仿宋" w:cs="仿宋"/>
          <w:color w:val="auto"/>
          <w:sz w:val="24"/>
          <w:szCs w:val="24"/>
        </w:rPr>
        <w:t>对付款方式、</w:t>
      </w:r>
      <w:r>
        <w:rPr>
          <w:rFonts w:hint="eastAsia" w:ascii="Times New Roman" w:hAnsi="Times New Roman" w:eastAsia="仿宋"/>
          <w:sz w:val="24"/>
          <w:szCs w:val="24"/>
          <w:lang w:val="en-US" w:eastAsia="zh-CN"/>
        </w:rPr>
        <w:t>服务</w:t>
      </w:r>
      <w:r>
        <w:rPr>
          <w:rFonts w:hint="eastAsia" w:ascii="Times New Roman" w:hAnsi="Times New Roman" w:eastAsia="仿宋"/>
          <w:sz w:val="24"/>
          <w:szCs w:val="24"/>
        </w:rPr>
        <w:t>期</w:t>
      </w:r>
      <w:r>
        <w:rPr>
          <w:rFonts w:hint="eastAsia" w:ascii="Times New Roman" w:hAnsi="Times New Roman" w:eastAsia="仿宋"/>
          <w:sz w:val="24"/>
          <w:szCs w:val="24"/>
          <w:lang w:val="en-US" w:eastAsia="zh-CN"/>
        </w:rPr>
        <w:t>限</w:t>
      </w:r>
      <w:r>
        <w:rPr>
          <w:rFonts w:hint="eastAsia" w:ascii="Times New Roman" w:hAnsi="Times New Roman" w:eastAsia="仿宋"/>
          <w:sz w:val="24"/>
          <w:szCs w:val="24"/>
        </w:rPr>
        <w:t>、</w:t>
      </w:r>
      <w:r>
        <w:rPr>
          <w:rFonts w:hint="eastAsia" w:ascii="Times New Roman" w:hAnsi="Times New Roman" w:eastAsia="仿宋"/>
          <w:sz w:val="24"/>
          <w:szCs w:val="24"/>
          <w:lang w:val="en-US" w:eastAsia="zh-CN"/>
        </w:rPr>
        <w:t>服务</w:t>
      </w:r>
      <w:r>
        <w:rPr>
          <w:rFonts w:hint="eastAsia" w:ascii="Times New Roman" w:hAnsi="Times New Roman" w:eastAsia="仿宋"/>
          <w:sz w:val="24"/>
          <w:szCs w:val="24"/>
        </w:rPr>
        <w:t>地点、</w:t>
      </w:r>
      <w:r>
        <w:rPr>
          <w:rFonts w:hint="eastAsia" w:ascii="仿宋" w:hAnsi="仿宋" w:eastAsia="仿宋" w:cs="仿宋"/>
          <w:color w:val="000000"/>
          <w:sz w:val="24"/>
          <w:szCs w:val="24"/>
        </w:rPr>
        <w:t>质量要求</w:t>
      </w:r>
      <w:r>
        <w:rPr>
          <w:rFonts w:hint="eastAsia" w:ascii="仿宋" w:hAnsi="仿宋" w:eastAsia="仿宋" w:cs="仿宋"/>
          <w:color w:val="000000"/>
          <w:sz w:val="24"/>
          <w:szCs w:val="24"/>
          <w:lang w:val="en-US" w:eastAsia="zh-CN"/>
        </w:rPr>
        <w:t>或</w:t>
      </w:r>
      <w:r>
        <w:rPr>
          <w:rFonts w:hint="eastAsia" w:ascii="仿宋" w:hAnsi="仿宋" w:eastAsia="仿宋" w:cs="仿宋"/>
          <w:color w:val="000000"/>
          <w:sz w:val="24"/>
          <w:szCs w:val="24"/>
        </w:rPr>
        <w:t>服务标准</w:t>
      </w:r>
      <w:r>
        <w:rPr>
          <w:rFonts w:hint="eastAsia" w:ascii="Times New Roman" w:hAnsi="Times New Roman" w:eastAsia="仿宋"/>
          <w:sz w:val="24"/>
          <w:szCs w:val="24"/>
        </w:rPr>
        <w:t>及其他商务条款未完全响应的，应当填写上表</w:t>
      </w:r>
      <w:r>
        <w:rPr>
          <w:rFonts w:hint="eastAsia" w:ascii="仿宋" w:hAnsi="仿宋" w:eastAsia="仿宋" w:cs="仿宋"/>
          <w:color w:val="auto"/>
          <w:sz w:val="24"/>
          <w:szCs w:val="24"/>
        </w:rPr>
        <w:t>。</w:t>
      </w:r>
    </w:p>
    <w:p w14:paraId="49481E8F">
      <w:pPr>
        <w:rPr>
          <w:rFonts w:hint="eastAsia" w:ascii="仿宋" w:hAnsi="仿宋" w:eastAsia="仿宋" w:cs="仿宋"/>
          <w:sz w:val="24"/>
          <w:szCs w:val="24"/>
          <w:lang w:eastAsia="zh-CN"/>
        </w:rPr>
      </w:pPr>
      <w:r>
        <w:rPr>
          <w:rFonts w:hint="eastAsia" w:ascii="仿宋" w:hAnsi="仿宋" w:eastAsia="仿宋" w:cs="仿宋"/>
          <w:sz w:val="24"/>
          <w:szCs w:val="24"/>
        </w:rPr>
        <w:t>供应商</w:t>
      </w:r>
      <w:r>
        <w:rPr>
          <w:rFonts w:hint="eastAsia" w:ascii="仿宋" w:hAnsi="仿宋" w:eastAsia="仿宋" w:cs="仿宋"/>
          <w:color w:val="auto"/>
          <w:sz w:val="24"/>
          <w:szCs w:val="24"/>
        </w:rPr>
        <w:t>保证：除商务</w:t>
      </w:r>
      <w:r>
        <w:rPr>
          <w:rFonts w:hint="eastAsia" w:ascii="仿宋" w:hAnsi="仿宋" w:eastAsia="仿宋" w:cs="仿宋"/>
          <w:color w:val="auto"/>
          <w:sz w:val="24"/>
          <w:szCs w:val="24"/>
          <w:lang w:eastAsia="zh-CN"/>
        </w:rPr>
        <w:t>条款</w:t>
      </w:r>
      <w:r>
        <w:rPr>
          <w:rFonts w:hint="eastAsia" w:ascii="仿宋" w:hAnsi="仿宋" w:eastAsia="仿宋" w:cs="仿宋"/>
          <w:color w:val="auto"/>
          <w:sz w:val="24"/>
          <w:szCs w:val="24"/>
        </w:rPr>
        <w:t>偏差表列出的偏差外，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响应</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文件的全部要求</w:t>
      </w:r>
      <w:r>
        <w:rPr>
          <w:rFonts w:hint="eastAsia" w:ascii="仿宋" w:hAnsi="仿宋" w:eastAsia="仿宋" w:cs="仿宋"/>
          <w:color w:val="auto"/>
          <w:sz w:val="24"/>
          <w:szCs w:val="24"/>
          <w:lang w:eastAsia="zh-CN"/>
        </w:rPr>
        <w:t>。</w:t>
      </w:r>
    </w:p>
    <w:p w14:paraId="72804E1F">
      <w:pPr>
        <w:rPr>
          <w:rFonts w:hint="eastAsia" w:ascii="仿宋" w:hAnsi="仿宋" w:eastAsia="仿宋" w:cs="仿宋"/>
          <w:sz w:val="24"/>
          <w:szCs w:val="24"/>
          <w:lang w:eastAsia="zh-CN"/>
        </w:rPr>
      </w:pPr>
    </w:p>
    <w:p w14:paraId="0FDE6C4A">
      <w:pPr>
        <w:rPr>
          <w:rFonts w:hint="eastAsia" w:ascii="仿宋" w:hAnsi="仿宋" w:eastAsia="仿宋" w:cs="仿宋"/>
        </w:rPr>
      </w:pPr>
      <w:r>
        <w:rPr>
          <w:rFonts w:hint="eastAsia" w:ascii="仿宋" w:hAnsi="仿宋" w:eastAsia="仿宋" w:cs="仿宋"/>
        </w:rPr>
        <w:br w:type="page"/>
      </w:r>
    </w:p>
    <w:p w14:paraId="3E4D709B">
      <w:pPr>
        <w:spacing w:line="360" w:lineRule="auto"/>
        <w:rPr>
          <w:rFonts w:hint="eastAsia" w:ascii="仿宋" w:hAnsi="仿宋" w:eastAsia="仿宋" w:cs="仿宋"/>
          <w:color w:val="auto"/>
        </w:rPr>
      </w:pPr>
    </w:p>
    <w:p w14:paraId="212A182A">
      <w:pPr>
        <w:pStyle w:val="4"/>
        <w:spacing w:before="0" w:after="0"/>
        <w:ind w:firstLine="480"/>
        <w:jc w:val="center"/>
        <w:outlineLvl w:val="2"/>
        <w:rPr>
          <w:rFonts w:hint="eastAsia" w:ascii="仿宋" w:hAnsi="仿宋" w:eastAsia="仿宋" w:cs="仿宋"/>
          <w:color w:val="auto"/>
          <w:sz w:val="32"/>
          <w:szCs w:val="32"/>
        </w:rPr>
      </w:pPr>
      <w:bookmarkStart w:id="594" w:name="_Toc18862"/>
      <w:bookmarkStart w:id="595" w:name="_Toc24644"/>
      <w:bookmarkStart w:id="596" w:name="_Toc13612"/>
      <w:r>
        <w:rPr>
          <w:rFonts w:hint="eastAsia" w:ascii="仿宋" w:hAnsi="仿宋" w:eastAsia="仿宋" w:cs="仿宋"/>
          <w:color w:val="auto"/>
          <w:lang w:eastAsia="zh-CN"/>
        </w:rPr>
        <w:t>（</w:t>
      </w:r>
      <w:r>
        <w:rPr>
          <w:rFonts w:hint="eastAsia" w:ascii="仿宋" w:hAnsi="仿宋" w:eastAsia="仿宋" w:cs="仿宋"/>
          <w:color w:val="auto"/>
          <w:lang w:val="en-US" w:eastAsia="zh-CN"/>
        </w:rPr>
        <w:t>二</w:t>
      </w:r>
      <w:r>
        <w:rPr>
          <w:rFonts w:hint="eastAsia" w:ascii="仿宋" w:hAnsi="仿宋" w:eastAsia="仿宋" w:cs="仿宋"/>
          <w:color w:val="auto"/>
          <w:lang w:eastAsia="zh-CN"/>
        </w:rPr>
        <w:t>）</w:t>
      </w:r>
      <w:r>
        <w:rPr>
          <w:rFonts w:hint="eastAsia" w:ascii="仿宋" w:hAnsi="仿宋" w:eastAsia="仿宋" w:cs="仿宋"/>
          <w:color w:val="auto"/>
        </w:rPr>
        <w:t>技术条款偏差表</w:t>
      </w:r>
      <w:bookmarkEnd w:id="594"/>
      <w:bookmarkEnd w:id="595"/>
      <w:bookmarkEnd w:id="596"/>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69"/>
        <w:gridCol w:w="977"/>
        <w:gridCol w:w="1150"/>
        <w:gridCol w:w="992"/>
        <w:gridCol w:w="1418"/>
        <w:gridCol w:w="1506"/>
      </w:tblGrid>
      <w:tr w14:paraId="677E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14:paraId="1F99DE82">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序号</w:t>
            </w:r>
          </w:p>
        </w:tc>
        <w:tc>
          <w:tcPr>
            <w:tcW w:w="3796" w:type="dxa"/>
            <w:gridSpan w:val="3"/>
            <w:noWrap w:val="0"/>
            <w:vAlign w:val="center"/>
          </w:tcPr>
          <w:p w14:paraId="668E3D63">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kern w:val="0"/>
                <w:sz w:val="24"/>
                <w:szCs w:val="24"/>
              </w:rPr>
              <w:t>采购文件</w:t>
            </w:r>
            <w:r>
              <w:rPr>
                <w:rFonts w:hint="eastAsia" w:ascii="仿宋" w:hAnsi="仿宋" w:eastAsia="仿宋" w:cs="仿宋"/>
                <w:b w:val="0"/>
                <w:bCs/>
                <w:color w:val="auto"/>
                <w:sz w:val="24"/>
                <w:szCs w:val="24"/>
              </w:rPr>
              <w:t>要求</w:t>
            </w:r>
          </w:p>
        </w:tc>
        <w:tc>
          <w:tcPr>
            <w:tcW w:w="2410" w:type="dxa"/>
            <w:gridSpan w:val="2"/>
            <w:noWrap w:val="0"/>
            <w:vAlign w:val="center"/>
          </w:tcPr>
          <w:p w14:paraId="1DFF072C">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kern w:val="0"/>
                <w:sz w:val="24"/>
                <w:szCs w:val="24"/>
              </w:rPr>
              <w:t>响应文件</w:t>
            </w:r>
            <w:r>
              <w:rPr>
                <w:rFonts w:hint="eastAsia" w:ascii="仿宋" w:hAnsi="仿宋" w:eastAsia="仿宋" w:cs="仿宋"/>
                <w:b w:val="0"/>
                <w:bCs/>
                <w:color w:val="auto"/>
                <w:sz w:val="24"/>
                <w:szCs w:val="24"/>
              </w:rPr>
              <w:t>响应</w:t>
            </w:r>
          </w:p>
        </w:tc>
        <w:tc>
          <w:tcPr>
            <w:tcW w:w="1506" w:type="dxa"/>
            <w:vMerge w:val="restart"/>
            <w:noWrap w:val="0"/>
            <w:vAlign w:val="center"/>
          </w:tcPr>
          <w:p w14:paraId="412AC915">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偏差说明</w:t>
            </w:r>
          </w:p>
        </w:tc>
      </w:tr>
      <w:tr w14:paraId="1D1D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740" w:type="dxa"/>
            <w:vMerge w:val="continue"/>
            <w:noWrap w:val="0"/>
            <w:vAlign w:val="center"/>
          </w:tcPr>
          <w:p w14:paraId="0B717030">
            <w:pPr>
              <w:widowControl/>
              <w:snapToGrid w:val="0"/>
              <w:spacing w:line="360" w:lineRule="auto"/>
              <w:jc w:val="center"/>
              <w:rPr>
                <w:rFonts w:hint="eastAsia" w:ascii="仿宋" w:hAnsi="仿宋" w:eastAsia="仿宋" w:cs="仿宋"/>
                <w:b w:val="0"/>
                <w:bCs/>
                <w:color w:val="auto"/>
                <w:sz w:val="24"/>
                <w:szCs w:val="24"/>
              </w:rPr>
            </w:pPr>
          </w:p>
        </w:tc>
        <w:tc>
          <w:tcPr>
            <w:tcW w:w="1669" w:type="dxa"/>
            <w:noWrap w:val="0"/>
            <w:vAlign w:val="center"/>
          </w:tcPr>
          <w:p w14:paraId="759235C9">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服务</w:t>
            </w:r>
            <w:r>
              <w:rPr>
                <w:rFonts w:hint="eastAsia" w:ascii="仿宋" w:hAnsi="仿宋" w:eastAsia="仿宋" w:cs="仿宋"/>
                <w:b w:val="0"/>
                <w:bCs/>
                <w:color w:val="auto"/>
                <w:sz w:val="24"/>
                <w:szCs w:val="24"/>
              </w:rPr>
              <w:t>要求</w:t>
            </w:r>
          </w:p>
        </w:tc>
        <w:tc>
          <w:tcPr>
            <w:tcW w:w="977" w:type="dxa"/>
            <w:noWrap w:val="0"/>
            <w:vAlign w:val="center"/>
          </w:tcPr>
          <w:p w14:paraId="7F77934A">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章节及条款号</w:t>
            </w:r>
          </w:p>
        </w:tc>
        <w:tc>
          <w:tcPr>
            <w:tcW w:w="1150" w:type="dxa"/>
            <w:noWrap w:val="0"/>
            <w:vAlign w:val="center"/>
          </w:tcPr>
          <w:p w14:paraId="6DA2503A">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具体要求</w:t>
            </w:r>
          </w:p>
        </w:tc>
        <w:tc>
          <w:tcPr>
            <w:tcW w:w="992" w:type="dxa"/>
            <w:noWrap w:val="0"/>
            <w:vAlign w:val="center"/>
          </w:tcPr>
          <w:p w14:paraId="757349E9">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章节及条款号</w:t>
            </w:r>
          </w:p>
        </w:tc>
        <w:tc>
          <w:tcPr>
            <w:tcW w:w="1418" w:type="dxa"/>
            <w:noWrap w:val="0"/>
            <w:vAlign w:val="center"/>
          </w:tcPr>
          <w:p w14:paraId="40AE3CD3">
            <w:pPr>
              <w:widowControl/>
              <w:snapToGrid w:val="0"/>
              <w:spacing w:line="36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具体内容</w:t>
            </w:r>
          </w:p>
        </w:tc>
        <w:tc>
          <w:tcPr>
            <w:tcW w:w="1506" w:type="dxa"/>
            <w:vMerge w:val="continue"/>
            <w:noWrap w:val="0"/>
            <w:vAlign w:val="center"/>
          </w:tcPr>
          <w:p w14:paraId="020BAFCB">
            <w:pPr>
              <w:widowControl/>
              <w:snapToGrid w:val="0"/>
              <w:spacing w:line="360" w:lineRule="auto"/>
              <w:jc w:val="center"/>
              <w:rPr>
                <w:rFonts w:hint="eastAsia" w:ascii="仿宋" w:hAnsi="仿宋" w:eastAsia="仿宋" w:cs="仿宋"/>
                <w:b w:val="0"/>
                <w:bCs/>
                <w:color w:val="auto"/>
                <w:sz w:val="24"/>
                <w:szCs w:val="24"/>
              </w:rPr>
            </w:pPr>
          </w:p>
        </w:tc>
      </w:tr>
      <w:tr w14:paraId="418B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14:paraId="225C7E96">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1669" w:type="dxa"/>
            <w:vMerge w:val="restart"/>
            <w:noWrap w:val="0"/>
            <w:vAlign w:val="center"/>
          </w:tcPr>
          <w:p w14:paraId="6E204A88">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服务</w:t>
            </w:r>
            <w:r>
              <w:rPr>
                <w:rFonts w:hint="eastAsia" w:ascii="仿宋" w:hAnsi="仿宋" w:eastAsia="仿宋" w:cs="仿宋"/>
                <w:b w:val="0"/>
                <w:bCs/>
                <w:color w:val="auto"/>
                <w:sz w:val="24"/>
                <w:szCs w:val="24"/>
              </w:rPr>
              <w:t>范围</w:t>
            </w:r>
          </w:p>
        </w:tc>
        <w:tc>
          <w:tcPr>
            <w:tcW w:w="977" w:type="dxa"/>
            <w:noWrap w:val="0"/>
            <w:vAlign w:val="center"/>
          </w:tcPr>
          <w:p w14:paraId="586BE850">
            <w:pPr>
              <w:spacing w:line="360" w:lineRule="auto"/>
              <w:rPr>
                <w:rFonts w:hint="eastAsia" w:ascii="仿宋" w:hAnsi="仿宋" w:eastAsia="仿宋" w:cs="仿宋"/>
                <w:b w:val="0"/>
                <w:bCs/>
                <w:color w:val="auto"/>
                <w:sz w:val="24"/>
                <w:szCs w:val="24"/>
              </w:rPr>
            </w:pPr>
          </w:p>
        </w:tc>
        <w:tc>
          <w:tcPr>
            <w:tcW w:w="1150" w:type="dxa"/>
            <w:noWrap w:val="0"/>
            <w:vAlign w:val="center"/>
          </w:tcPr>
          <w:p w14:paraId="7D5F366C">
            <w:pPr>
              <w:spacing w:line="360" w:lineRule="auto"/>
              <w:rPr>
                <w:rFonts w:hint="eastAsia" w:ascii="仿宋" w:hAnsi="仿宋" w:eastAsia="仿宋" w:cs="仿宋"/>
                <w:b w:val="0"/>
                <w:bCs/>
                <w:color w:val="auto"/>
                <w:sz w:val="24"/>
                <w:szCs w:val="24"/>
              </w:rPr>
            </w:pPr>
          </w:p>
        </w:tc>
        <w:tc>
          <w:tcPr>
            <w:tcW w:w="992" w:type="dxa"/>
            <w:noWrap w:val="0"/>
            <w:vAlign w:val="center"/>
          </w:tcPr>
          <w:p w14:paraId="6D5BFE9D">
            <w:pPr>
              <w:spacing w:line="360" w:lineRule="auto"/>
              <w:rPr>
                <w:rFonts w:hint="eastAsia" w:ascii="仿宋" w:hAnsi="仿宋" w:eastAsia="仿宋" w:cs="仿宋"/>
                <w:b w:val="0"/>
                <w:bCs/>
                <w:color w:val="auto"/>
                <w:sz w:val="24"/>
                <w:szCs w:val="24"/>
              </w:rPr>
            </w:pPr>
          </w:p>
        </w:tc>
        <w:tc>
          <w:tcPr>
            <w:tcW w:w="1418" w:type="dxa"/>
            <w:noWrap w:val="0"/>
            <w:vAlign w:val="center"/>
          </w:tcPr>
          <w:p w14:paraId="0030F3BF">
            <w:pPr>
              <w:spacing w:line="360" w:lineRule="auto"/>
              <w:rPr>
                <w:rFonts w:hint="eastAsia" w:ascii="仿宋" w:hAnsi="仿宋" w:eastAsia="仿宋" w:cs="仿宋"/>
                <w:b w:val="0"/>
                <w:bCs/>
                <w:color w:val="auto"/>
                <w:sz w:val="24"/>
                <w:szCs w:val="24"/>
              </w:rPr>
            </w:pPr>
          </w:p>
        </w:tc>
        <w:tc>
          <w:tcPr>
            <w:tcW w:w="1506" w:type="dxa"/>
            <w:noWrap w:val="0"/>
            <w:vAlign w:val="center"/>
          </w:tcPr>
          <w:p w14:paraId="6F15A12A">
            <w:pPr>
              <w:spacing w:line="360" w:lineRule="auto"/>
              <w:rPr>
                <w:rFonts w:hint="eastAsia" w:ascii="仿宋" w:hAnsi="仿宋" w:eastAsia="仿宋" w:cs="仿宋"/>
                <w:b w:val="0"/>
                <w:bCs/>
                <w:color w:val="auto"/>
                <w:sz w:val="24"/>
                <w:szCs w:val="24"/>
              </w:rPr>
            </w:pPr>
          </w:p>
        </w:tc>
      </w:tr>
      <w:tr w14:paraId="493A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exact"/>
          <w:jc w:val="center"/>
        </w:trPr>
        <w:tc>
          <w:tcPr>
            <w:tcW w:w="740" w:type="dxa"/>
            <w:vMerge w:val="continue"/>
            <w:noWrap w:val="0"/>
            <w:vAlign w:val="center"/>
          </w:tcPr>
          <w:p w14:paraId="40F5F96B">
            <w:pPr>
              <w:spacing w:line="360" w:lineRule="auto"/>
              <w:rPr>
                <w:rFonts w:hint="eastAsia" w:ascii="仿宋" w:hAnsi="仿宋" w:eastAsia="仿宋" w:cs="仿宋"/>
                <w:b w:val="0"/>
                <w:bCs/>
                <w:color w:val="auto"/>
                <w:sz w:val="24"/>
                <w:szCs w:val="24"/>
              </w:rPr>
            </w:pPr>
          </w:p>
        </w:tc>
        <w:tc>
          <w:tcPr>
            <w:tcW w:w="1669" w:type="dxa"/>
            <w:vMerge w:val="continue"/>
            <w:noWrap w:val="0"/>
            <w:vAlign w:val="center"/>
          </w:tcPr>
          <w:p w14:paraId="3BEE9465">
            <w:pPr>
              <w:spacing w:line="360" w:lineRule="auto"/>
              <w:rPr>
                <w:rFonts w:hint="eastAsia" w:ascii="仿宋" w:hAnsi="仿宋" w:eastAsia="仿宋" w:cs="仿宋"/>
                <w:b w:val="0"/>
                <w:bCs/>
                <w:color w:val="auto"/>
                <w:sz w:val="24"/>
                <w:szCs w:val="24"/>
              </w:rPr>
            </w:pPr>
          </w:p>
        </w:tc>
        <w:tc>
          <w:tcPr>
            <w:tcW w:w="977" w:type="dxa"/>
            <w:noWrap w:val="0"/>
            <w:vAlign w:val="center"/>
          </w:tcPr>
          <w:p w14:paraId="22980243">
            <w:pPr>
              <w:spacing w:line="360" w:lineRule="auto"/>
              <w:rPr>
                <w:rFonts w:hint="eastAsia" w:ascii="仿宋" w:hAnsi="仿宋" w:eastAsia="仿宋" w:cs="仿宋"/>
                <w:b w:val="0"/>
                <w:bCs/>
                <w:color w:val="auto"/>
                <w:sz w:val="24"/>
                <w:szCs w:val="24"/>
              </w:rPr>
            </w:pPr>
          </w:p>
        </w:tc>
        <w:tc>
          <w:tcPr>
            <w:tcW w:w="1150" w:type="dxa"/>
            <w:noWrap w:val="0"/>
            <w:vAlign w:val="center"/>
          </w:tcPr>
          <w:p w14:paraId="09CC0699">
            <w:pPr>
              <w:spacing w:line="360" w:lineRule="auto"/>
              <w:rPr>
                <w:rFonts w:hint="eastAsia" w:ascii="仿宋" w:hAnsi="仿宋" w:eastAsia="仿宋" w:cs="仿宋"/>
                <w:b w:val="0"/>
                <w:bCs/>
                <w:color w:val="auto"/>
                <w:sz w:val="24"/>
                <w:szCs w:val="24"/>
              </w:rPr>
            </w:pPr>
          </w:p>
        </w:tc>
        <w:tc>
          <w:tcPr>
            <w:tcW w:w="992" w:type="dxa"/>
            <w:noWrap w:val="0"/>
            <w:vAlign w:val="center"/>
          </w:tcPr>
          <w:p w14:paraId="3D8625E4">
            <w:pPr>
              <w:spacing w:line="360" w:lineRule="auto"/>
              <w:rPr>
                <w:rFonts w:hint="eastAsia" w:ascii="仿宋" w:hAnsi="仿宋" w:eastAsia="仿宋" w:cs="仿宋"/>
                <w:b w:val="0"/>
                <w:bCs/>
                <w:color w:val="auto"/>
                <w:sz w:val="24"/>
                <w:szCs w:val="24"/>
              </w:rPr>
            </w:pPr>
          </w:p>
        </w:tc>
        <w:tc>
          <w:tcPr>
            <w:tcW w:w="1418" w:type="dxa"/>
            <w:noWrap w:val="0"/>
            <w:vAlign w:val="center"/>
          </w:tcPr>
          <w:p w14:paraId="4B57262D">
            <w:pPr>
              <w:spacing w:line="360" w:lineRule="auto"/>
              <w:rPr>
                <w:rFonts w:hint="eastAsia" w:ascii="仿宋" w:hAnsi="仿宋" w:eastAsia="仿宋" w:cs="仿宋"/>
                <w:b w:val="0"/>
                <w:bCs/>
                <w:color w:val="auto"/>
                <w:sz w:val="24"/>
                <w:szCs w:val="24"/>
              </w:rPr>
            </w:pPr>
          </w:p>
        </w:tc>
        <w:tc>
          <w:tcPr>
            <w:tcW w:w="1506" w:type="dxa"/>
            <w:noWrap w:val="0"/>
            <w:vAlign w:val="center"/>
          </w:tcPr>
          <w:p w14:paraId="4D7D3500">
            <w:pPr>
              <w:spacing w:line="360" w:lineRule="auto"/>
              <w:rPr>
                <w:rFonts w:hint="eastAsia" w:ascii="仿宋" w:hAnsi="仿宋" w:eastAsia="仿宋" w:cs="仿宋"/>
                <w:b w:val="0"/>
                <w:bCs/>
                <w:color w:val="auto"/>
                <w:sz w:val="24"/>
                <w:szCs w:val="24"/>
              </w:rPr>
            </w:pPr>
          </w:p>
        </w:tc>
      </w:tr>
      <w:tr w14:paraId="292D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14:paraId="71EEC3BF">
            <w:pPr>
              <w:spacing w:line="360" w:lineRule="auto"/>
              <w:rPr>
                <w:rFonts w:hint="eastAsia" w:ascii="仿宋" w:hAnsi="仿宋" w:eastAsia="仿宋" w:cs="仿宋"/>
                <w:b w:val="0"/>
                <w:bCs/>
                <w:color w:val="auto"/>
                <w:sz w:val="24"/>
                <w:szCs w:val="24"/>
              </w:rPr>
            </w:pPr>
          </w:p>
        </w:tc>
        <w:tc>
          <w:tcPr>
            <w:tcW w:w="1669" w:type="dxa"/>
            <w:vMerge w:val="continue"/>
            <w:noWrap w:val="0"/>
            <w:vAlign w:val="center"/>
          </w:tcPr>
          <w:p w14:paraId="2941D2D3">
            <w:pPr>
              <w:spacing w:line="360" w:lineRule="auto"/>
              <w:rPr>
                <w:rFonts w:hint="eastAsia" w:ascii="仿宋" w:hAnsi="仿宋" w:eastAsia="仿宋" w:cs="仿宋"/>
                <w:b w:val="0"/>
                <w:bCs/>
                <w:color w:val="auto"/>
                <w:sz w:val="24"/>
                <w:szCs w:val="24"/>
              </w:rPr>
            </w:pPr>
          </w:p>
        </w:tc>
        <w:tc>
          <w:tcPr>
            <w:tcW w:w="977" w:type="dxa"/>
            <w:noWrap w:val="0"/>
            <w:vAlign w:val="center"/>
          </w:tcPr>
          <w:p w14:paraId="4C495E24">
            <w:pPr>
              <w:spacing w:line="360" w:lineRule="auto"/>
              <w:rPr>
                <w:rFonts w:hint="eastAsia" w:ascii="仿宋" w:hAnsi="仿宋" w:eastAsia="仿宋" w:cs="仿宋"/>
                <w:b w:val="0"/>
                <w:bCs/>
                <w:color w:val="auto"/>
                <w:sz w:val="24"/>
                <w:szCs w:val="24"/>
              </w:rPr>
            </w:pPr>
          </w:p>
        </w:tc>
        <w:tc>
          <w:tcPr>
            <w:tcW w:w="1150" w:type="dxa"/>
            <w:noWrap w:val="0"/>
            <w:vAlign w:val="center"/>
          </w:tcPr>
          <w:p w14:paraId="725D1382">
            <w:pPr>
              <w:spacing w:line="360" w:lineRule="auto"/>
              <w:rPr>
                <w:rFonts w:hint="eastAsia" w:ascii="仿宋" w:hAnsi="仿宋" w:eastAsia="仿宋" w:cs="仿宋"/>
                <w:b w:val="0"/>
                <w:bCs/>
                <w:color w:val="auto"/>
                <w:sz w:val="24"/>
                <w:szCs w:val="24"/>
              </w:rPr>
            </w:pPr>
          </w:p>
        </w:tc>
        <w:tc>
          <w:tcPr>
            <w:tcW w:w="992" w:type="dxa"/>
            <w:noWrap w:val="0"/>
            <w:vAlign w:val="center"/>
          </w:tcPr>
          <w:p w14:paraId="310A5C0D">
            <w:pPr>
              <w:spacing w:line="360" w:lineRule="auto"/>
              <w:rPr>
                <w:rFonts w:hint="eastAsia" w:ascii="仿宋" w:hAnsi="仿宋" w:eastAsia="仿宋" w:cs="仿宋"/>
                <w:b w:val="0"/>
                <w:bCs/>
                <w:color w:val="auto"/>
                <w:sz w:val="24"/>
                <w:szCs w:val="24"/>
              </w:rPr>
            </w:pPr>
          </w:p>
        </w:tc>
        <w:tc>
          <w:tcPr>
            <w:tcW w:w="1418" w:type="dxa"/>
            <w:noWrap w:val="0"/>
            <w:vAlign w:val="center"/>
          </w:tcPr>
          <w:p w14:paraId="7088AB25">
            <w:pPr>
              <w:spacing w:line="360" w:lineRule="auto"/>
              <w:rPr>
                <w:rFonts w:hint="eastAsia" w:ascii="仿宋" w:hAnsi="仿宋" w:eastAsia="仿宋" w:cs="仿宋"/>
                <w:b w:val="0"/>
                <w:bCs/>
                <w:color w:val="auto"/>
                <w:sz w:val="24"/>
                <w:szCs w:val="24"/>
              </w:rPr>
            </w:pPr>
          </w:p>
        </w:tc>
        <w:tc>
          <w:tcPr>
            <w:tcW w:w="1506" w:type="dxa"/>
            <w:noWrap w:val="0"/>
            <w:vAlign w:val="center"/>
          </w:tcPr>
          <w:p w14:paraId="0BE65F0E">
            <w:pPr>
              <w:spacing w:line="360" w:lineRule="auto"/>
              <w:rPr>
                <w:rFonts w:hint="eastAsia" w:ascii="仿宋" w:hAnsi="仿宋" w:eastAsia="仿宋" w:cs="仿宋"/>
                <w:b w:val="0"/>
                <w:bCs/>
                <w:color w:val="auto"/>
                <w:sz w:val="24"/>
                <w:szCs w:val="24"/>
              </w:rPr>
            </w:pPr>
          </w:p>
        </w:tc>
      </w:tr>
      <w:tr w14:paraId="6E24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14:paraId="71FB56F6">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c>
          <w:tcPr>
            <w:tcW w:w="1669" w:type="dxa"/>
            <w:vMerge w:val="restart"/>
            <w:noWrap w:val="0"/>
            <w:vAlign w:val="center"/>
          </w:tcPr>
          <w:p w14:paraId="3863CFEA">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p w14:paraId="6DA82ADA">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p w14:paraId="7E1F12A1">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977" w:type="dxa"/>
            <w:noWrap w:val="0"/>
            <w:vAlign w:val="center"/>
          </w:tcPr>
          <w:p w14:paraId="2172D257">
            <w:pPr>
              <w:spacing w:line="360" w:lineRule="auto"/>
              <w:rPr>
                <w:rFonts w:hint="eastAsia" w:ascii="仿宋" w:hAnsi="仿宋" w:eastAsia="仿宋" w:cs="仿宋"/>
                <w:b w:val="0"/>
                <w:bCs/>
                <w:color w:val="auto"/>
                <w:sz w:val="24"/>
                <w:szCs w:val="24"/>
              </w:rPr>
            </w:pPr>
          </w:p>
        </w:tc>
        <w:tc>
          <w:tcPr>
            <w:tcW w:w="1150" w:type="dxa"/>
            <w:noWrap w:val="0"/>
            <w:vAlign w:val="center"/>
          </w:tcPr>
          <w:p w14:paraId="4F77DF5C">
            <w:pPr>
              <w:spacing w:line="360" w:lineRule="auto"/>
              <w:rPr>
                <w:rFonts w:hint="eastAsia" w:ascii="仿宋" w:hAnsi="仿宋" w:eastAsia="仿宋" w:cs="仿宋"/>
                <w:b w:val="0"/>
                <w:bCs/>
                <w:color w:val="auto"/>
                <w:sz w:val="24"/>
                <w:szCs w:val="24"/>
              </w:rPr>
            </w:pPr>
          </w:p>
        </w:tc>
        <w:tc>
          <w:tcPr>
            <w:tcW w:w="992" w:type="dxa"/>
            <w:noWrap w:val="0"/>
            <w:vAlign w:val="center"/>
          </w:tcPr>
          <w:p w14:paraId="63BCB30F">
            <w:pPr>
              <w:spacing w:line="360" w:lineRule="auto"/>
              <w:rPr>
                <w:rFonts w:hint="eastAsia" w:ascii="仿宋" w:hAnsi="仿宋" w:eastAsia="仿宋" w:cs="仿宋"/>
                <w:b w:val="0"/>
                <w:bCs/>
                <w:color w:val="auto"/>
                <w:sz w:val="24"/>
                <w:szCs w:val="24"/>
              </w:rPr>
            </w:pPr>
          </w:p>
        </w:tc>
        <w:tc>
          <w:tcPr>
            <w:tcW w:w="1418" w:type="dxa"/>
            <w:noWrap w:val="0"/>
            <w:vAlign w:val="center"/>
          </w:tcPr>
          <w:p w14:paraId="74002F58">
            <w:pPr>
              <w:spacing w:line="360" w:lineRule="auto"/>
              <w:rPr>
                <w:rFonts w:hint="eastAsia" w:ascii="仿宋" w:hAnsi="仿宋" w:eastAsia="仿宋" w:cs="仿宋"/>
                <w:b w:val="0"/>
                <w:bCs/>
                <w:color w:val="auto"/>
                <w:sz w:val="24"/>
                <w:szCs w:val="24"/>
              </w:rPr>
            </w:pPr>
          </w:p>
        </w:tc>
        <w:tc>
          <w:tcPr>
            <w:tcW w:w="1506" w:type="dxa"/>
            <w:noWrap w:val="0"/>
            <w:vAlign w:val="center"/>
          </w:tcPr>
          <w:p w14:paraId="52B53F56">
            <w:pPr>
              <w:spacing w:line="360" w:lineRule="auto"/>
              <w:rPr>
                <w:rFonts w:hint="eastAsia" w:ascii="仿宋" w:hAnsi="仿宋" w:eastAsia="仿宋" w:cs="仿宋"/>
                <w:b w:val="0"/>
                <w:bCs/>
                <w:color w:val="auto"/>
                <w:sz w:val="24"/>
                <w:szCs w:val="24"/>
              </w:rPr>
            </w:pPr>
          </w:p>
        </w:tc>
      </w:tr>
      <w:tr w14:paraId="3759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exact"/>
          <w:jc w:val="center"/>
        </w:trPr>
        <w:tc>
          <w:tcPr>
            <w:tcW w:w="740" w:type="dxa"/>
            <w:vMerge w:val="continue"/>
            <w:noWrap w:val="0"/>
            <w:vAlign w:val="center"/>
          </w:tcPr>
          <w:p w14:paraId="005FEB6F">
            <w:pPr>
              <w:spacing w:line="360" w:lineRule="auto"/>
              <w:rPr>
                <w:rFonts w:hint="eastAsia" w:ascii="仿宋" w:hAnsi="仿宋" w:eastAsia="仿宋" w:cs="仿宋"/>
                <w:b w:val="0"/>
                <w:bCs/>
                <w:color w:val="auto"/>
                <w:sz w:val="24"/>
                <w:szCs w:val="24"/>
              </w:rPr>
            </w:pPr>
          </w:p>
        </w:tc>
        <w:tc>
          <w:tcPr>
            <w:tcW w:w="1669" w:type="dxa"/>
            <w:vMerge w:val="continue"/>
            <w:noWrap w:val="0"/>
            <w:vAlign w:val="center"/>
          </w:tcPr>
          <w:p w14:paraId="36080412">
            <w:pPr>
              <w:spacing w:line="360" w:lineRule="auto"/>
              <w:rPr>
                <w:rFonts w:hint="eastAsia" w:ascii="仿宋" w:hAnsi="仿宋" w:eastAsia="仿宋" w:cs="仿宋"/>
                <w:b w:val="0"/>
                <w:bCs/>
                <w:color w:val="auto"/>
                <w:sz w:val="24"/>
                <w:szCs w:val="24"/>
              </w:rPr>
            </w:pPr>
          </w:p>
        </w:tc>
        <w:tc>
          <w:tcPr>
            <w:tcW w:w="977" w:type="dxa"/>
            <w:noWrap w:val="0"/>
            <w:vAlign w:val="center"/>
          </w:tcPr>
          <w:p w14:paraId="23FE1357">
            <w:pPr>
              <w:spacing w:line="360" w:lineRule="auto"/>
              <w:rPr>
                <w:rFonts w:hint="eastAsia" w:ascii="仿宋" w:hAnsi="仿宋" w:eastAsia="仿宋" w:cs="仿宋"/>
                <w:b w:val="0"/>
                <w:bCs/>
                <w:color w:val="auto"/>
                <w:sz w:val="24"/>
                <w:szCs w:val="24"/>
              </w:rPr>
            </w:pPr>
          </w:p>
        </w:tc>
        <w:tc>
          <w:tcPr>
            <w:tcW w:w="1150" w:type="dxa"/>
            <w:noWrap w:val="0"/>
            <w:vAlign w:val="center"/>
          </w:tcPr>
          <w:p w14:paraId="5295A0E8">
            <w:pPr>
              <w:spacing w:line="360" w:lineRule="auto"/>
              <w:rPr>
                <w:rFonts w:hint="eastAsia" w:ascii="仿宋" w:hAnsi="仿宋" w:eastAsia="仿宋" w:cs="仿宋"/>
                <w:b w:val="0"/>
                <w:bCs/>
                <w:color w:val="auto"/>
                <w:sz w:val="24"/>
                <w:szCs w:val="24"/>
              </w:rPr>
            </w:pPr>
          </w:p>
        </w:tc>
        <w:tc>
          <w:tcPr>
            <w:tcW w:w="992" w:type="dxa"/>
            <w:noWrap w:val="0"/>
            <w:vAlign w:val="center"/>
          </w:tcPr>
          <w:p w14:paraId="08F10A8A">
            <w:pPr>
              <w:spacing w:line="360" w:lineRule="auto"/>
              <w:rPr>
                <w:rFonts w:hint="eastAsia" w:ascii="仿宋" w:hAnsi="仿宋" w:eastAsia="仿宋" w:cs="仿宋"/>
                <w:b w:val="0"/>
                <w:bCs/>
                <w:color w:val="auto"/>
                <w:sz w:val="24"/>
                <w:szCs w:val="24"/>
              </w:rPr>
            </w:pPr>
          </w:p>
        </w:tc>
        <w:tc>
          <w:tcPr>
            <w:tcW w:w="1418" w:type="dxa"/>
            <w:noWrap w:val="0"/>
            <w:vAlign w:val="center"/>
          </w:tcPr>
          <w:p w14:paraId="3796EEE6">
            <w:pPr>
              <w:spacing w:line="360" w:lineRule="auto"/>
              <w:rPr>
                <w:rFonts w:hint="eastAsia" w:ascii="仿宋" w:hAnsi="仿宋" w:eastAsia="仿宋" w:cs="仿宋"/>
                <w:b w:val="0"/>
                <w:bCs/>
                <w:color w:val="auto"/>
                <w:sz w:val="24"/>
                <w:szCs w:val="24"/>
              </w:rPr>
            </w:pPr>
          </w:p>
        </w:tc>
        <w:tc>
          <w:tcPr>
            <w:tcW w:w="1506" w:type="dxa"/>
            <w:noWrap w:val="0"/>
            <w:vAlign w:val="center"/>
          </w:tcPr>
          <w:p w14:paraId="36C2A05D">
            <w:pPr>
              <w:spacing w:line="360" w:lineRule="auto"/>
              <w:rPr>
                <w:rFonts w:hint="eastAsia" w:ascii="仿宋" w:hAnsi="仿宋" w:eastAsia="仿宋" w:cs="仿宋"/>
                <w:b w:val="0"/>
                <w:bCs/>
                <w:color w:val="auto"/>
                <w:sz w:val="24"/>
                <w:szCs w:val="24"/>
              </w:rPr>
            </w:pPr>
          </w:p>
        </w:tc>
      </w:tr>
      <w:tr w14:paraId="22B3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740" w:type="dxa"/>
            <w:vMerge w:val="continue"/>
            <w:noWrap w:val="0"/>
            <w:vAlign w:val="center"/>
          </w:tcPr>
          <w:p w14:paraId="433A7EE9">
            <w:pPr>
              <w:spacing w:line="360" w:lineRule="auto"/>
              <w:rPr>
                <w:rFonts w:hint="eastAsia" w:ascii="仿宋" w:hAnsi="仿宋" w:eastAsia="仿宋" w:cs="仿宋"/>
                <w:b w:val="0"/>
                <w:bCs/>
                <w:color w:val="auto"/>
                <w:sz w:val="24"/>
                <w:szCs w:val="24"/>
              </w:rPr>
            </w:pPr>
          </w:p>
        </w:tc>
        <w:tc>
          <w:tcPr>
            <w:tcW w:w="1669" w:type="dxa"/>
            <w:vMerge w:val="continue"/>
            <w:noWrap w:val="0"/>
            <w:vAlign w:val="center"/>
          </w:tcPr>
          <w:p w14:paraId="15E8C9F9">
            <w:pPr>
              <w:spacing w:line="360" w:lineRule="auto"/>
              <w:rPr>
                <w:rFonts w:hint="eastAsia" w:ascii="仿宋" w:hAnsi="仿宋" w:eastAsia="仿宋" w:cs="仿宋"/>
                <w:b w:val="0"/>
                <w:bCs/>
                <w:color w:val="auto"/>
                <w:sz w:val="24"/>
                <w:szCs w:val="24"/>
              </w:rPr>
            </w:pPr>
          </w:p>
        </w:tc>
        <w:tc>
          <w:tcPr>
            <w:tcW w:w="977" w:type="dxa"/>
            <w:noWrap w:val="0"/>
            <w:vAlign w:val="center"/>
          </w:tcPr>
          <w:p w14:paraId="715E7B7D">
            <w:pPr>
              <w:spacing w:line="360" w:lineRule="auto"/>
              <w:rPr>
                <w:rFonts w:hint="eastAsia" w:ascii="仿宋" w:hAnsi="仿宋" w:eastAsia="仿宋" w:cs="仿宋"/>
                <w:b w:val="0"/>
                <w:bCs/>
                <w:color w:val="auto"/>
                <w:sz w:val="24"/>
                <w:szCs w:val="24"/>
              </w:rPr>
            </w:pPr>
          </w:p>
        </w:tc>
        <w:tc>
          <w:tcPr>
            <w:tcW w:w="1150" w:type="dxa"/>
            <w:noWrap w:val="0"/>
            <w:vAlign w:val="center"/>
          </w:tcPr>
          <w:p w14:paraId="5A077C6E">
            <w:pPr>
              <w:spacing w:line="360" w:lineRule="auto"/>
              <w:rPr>
                <w:rFonts w:hint="eastAsia" w:ascii="仿宋" w:hAnsi="仿宋" w:eastAsia="仿宋" w:cs="仿宋"/>
                <w:b w:val="0"/>
                <w:bCs/>
                <w:color w:val="auto"/>
                <w:sz w:val="24"/>
                <w:szCs w:val="24"/>
              </w:rPr>
            </w:pPr>
          </w:p>
        </w:tc>
        <w:tc>
          <w:tcPr>
            <w:tcW w:w="992" w:type="dxa"/>
            <w:noWrap w:val="0"/>
            <w:vAlign w:val="center"/>
          </w:tcPr>
          <w:p w14:paraId="62CF193F">
            <w:pPr>
              <w:spacing w:line="360" w:lineRule="auto"/>
              <w:rPr>
                <w:rFonts w:hint="eastAsia" w:ascii="仿宋" w:hAnsi="仿宋" w:eastAsia="仿宋" w:cs="仿宋"/>
                <w:b w:val="0"/>
                <w:bCs/>
                <w:color w:val="auto"/>
                <w:sz w:val="24"/>
                <w:szCs w:val="24"/>
              </w:rPr>
            </w:pPr>
          </w:p>
        </w:tc>
        <w:tc>
          <w:tcPr>
            <w:tcW w:w="1418" w:type="dxa"/>
            <w:noWrap w:val="0"/>
            <w:vAlign w:val="center"/>
          </w:tcPr>
          <w:p w14:paraId="7DA81F87">
            <w:pPr>
              <w:spacing w:line="360" w:lineRule="auto"/>
              <w:rPr>
                <w:rFonts w:hint="eastAsia" w:ascii="仿宋" w:hAnsi="仿宋" w:eastAsia="仿宋" w:cs="仿宋"/>
                <w:b w:val="0"/>
                <w:bCs/>
                <w:color w:val="auto"/>
                <w:sz w:val="24"/>
                <w:szCs w:val="24"/>
              </w:rPr>
            </w:pPr>
          </w:p>
        </w:tc>
        <w:tc>
          <w:tcPr>
            <w:tcW w:w="1506" w:type="dxa"/>
            <w:noWrap w:val="0"/>
            <w:vAlign w:val="center"/>
          </w:tcPr>
          <w:p w14:paraId="079C6B86">
            <w:pPr>
              <w:spacing w:line="360" w:lineRule="auto"/>
              <w:rPr>
                <w:rFonts w:hint="eastAsia" w:ascii="仿宋" w:hAnsi="仿宋" w:eastAsia="仿宋" w:cs="仿宋"/>
                <w:b w:val="0"/>
                <w:bCs/>
                <w:color w:val="auto"/>
                <w:sz w:val="24"/>
                <w:szCs w:val="24"/>
              </w:rPr>
            </w:pPr>
          </w:p>
        </w:tc>
      </w:tr>
      <w:tr w14:paraId="7619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14:paraId="0337F75D">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w:t>
            </w:r>
          </w:p>
        </w:tc>
        <w:tc>
          <w:tcPr>
            <w:tcW w:w="1669" w:type="dxa"/>
            <w:vMerge w:val="restart"/>
            <w:noWrap w:val="0"/>
            <w:vAlign w:val="center"/>
          </w:tcPr>
          <w:p w14:paraId="4FF4540D">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p w14:paraId="6340B0B0">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p w14:paraId="28F48CAB">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977" w:type="dxa"/>
            <w:noWrap w:val="0"/>
            <w:vAlign w:val="center"/>
          </w:tcPr>
          <w:p w14:paraId="4AADF633">
            <w:pPr>
              <w:spacing w:line="360" w:lineRule="auto"/>
              <w:rPr>
                <w:rFonts w:hint="eastAsia" w:ascii="仿宋" w:hAnsi="仿宋" w:eastAsia="仿宋" w:cs="仿宋"/>
                <w:b w:val="0"/>
                <w:bCs/>
                <w:color w:val="auto"/>
                <w:sz w:val="24"/>
                <w:szCs w:val="24"/>
              </w:rPr>
            </w:pPr>
          </w:p>
        </w:tc>
        <w:tc>
          <w:tcPr>
            <w:tcW w:w="1150" w:type="dxa"/>
            <w:noWrap w:val="0"/>
            <w:vAlign w:val="center"/>
          </w:tcPr>
          <w:p w14:paraId="4D8D8B7E">
            <w:pPr>
              <w:spacing w:line="360" w:lineRule="auto"/>
              <w:rPr>
                <w:rFonts w:hint="eastAsia" w:ascii="仿宋" w:hAnsi="仿宋" w:eastAsia="仿宋" w:cs="仿宋"/>
                <w:b w:val="0"/>
                <w:bCs/>
                <w:color w:val="auto"/>
                <w:sz w:val="24"/>
                <w:szCs w:val="24"/>
              </w:rPr>
            </w:pPr>
          </w:p>
        </w:tc>
        <w:tc>
          <w:tcPr>
            <w:tcW w:w="992" w:type="dxa"/>
            <w:noWrap w:val="0"/>
            <w:vAlign w:val="center"/>
          </w:tcPr>
          <w:p w14:paraId="67496A32">
            <w:pPr>
              <w:spacing w:line="360" w:lineRule="auto"/>
              <w:rPr>
                <w:rFonts w:hint="eastAsia" w:ascii="仿宋" w:hAnsi="仿宋" w:eastAsia="仿宋" w:cs="仿宋"/>
                <w:b w:val="0"/>
                <w:bCs/>
                <w:color w:val="auto"/>
                <w:sz w:val="24"/>
                <w:szCs w:val="24"/>
              </w:rPr>
            </w:pPr>
          </w:p>
        </w:tc>
        <w:tc>
          <w:tcPr>
            <w:tcW w:w="1418" w:type="dxa"/>
            <w:noWrap w:val="0"/>
            <w:vAlign w:val="center"/>
          </w:tcPr>
          <w:p w14:paraId="2C42735B">
            <w:pPr>
              <w:spacing w:line="360" w:lineRule="auto"/>
              <w:rPr>
                <w:rFonts w:hint="eastAsia" w:ascii="仿宋" w:hAnsi="仿宋" w:eastAsia="仿宋" w:cs="仿宋"/>
                <w:b w:val="0"/>
                <w:bCs/>
                <w:color w:val="auto"/>
                <w:sz w:val="24"/>
                <w:szCs w:val="24"/>
              </w:rPr>
            </w:pPr>
          </w:p>
        </w:tc>
        <w:tc>
          <w:tcPr>
            <w:tcW w:w="1506" w:type="dxa"/>
            <w:noWrap w:val="0"/>
            <w:vAlign w:val="center"/>
          </w:tcPr>
          <w:p w14:paraId="62A72789">
            <w:pPr>
              <w:spacing w:line="360" w:lineRule="auto"/>
              <w:rPr>
                <w:rFonts w:hint="eastAsia" w:ascii="仿宋" w:hAnsi="仿宋" w:eastAsia="仿宋" w:cs="仿宋"/>
                <w:b w:val="0"/>
                <w:bCs/>
                <w:color w:val="auto"/>
                <w:sz w:val="24"/>
                <w:szCs w:val="24"/>
              </w:rPr>
            </w:pPr>
          </w:p>
        </w:tc>
      </w:tr>
      <w:tr w14:paraId="0CAC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14:paraId="0E710834">
            <w:pPr>
              <w:spacing w:line="360" w:lineRule="auto"/>
              <w:rPr>
                <w:rFonts w:hint="eastAsia" w:ascii="仿宋" w:hAnsi="仿宋" w:eastAsia="仿宋" w:cs="仿宋"/>
                <w:b w:val="0"/>
                <w:bCs/>
                <w:color w:val="auto"/>
                <w:sz w:val="24"/>
                <w:szCs w:val="24"/>
              </w:rPr>
            </w:pPr>
          </w:p>
        </w:tc>
        <w:tc>
          <w:tcPr>
            <w:tcW w:w="1669" w:type="dxa"/>
            <w:vMerge w:val="continue"/>
            <w:noWrap w:val="0"/>
            <w:vAlign w:val="center"/>
          </w:tcPr>
          <w:p w14:paraId="30BE1CDE">
            <w:pPr>
              <w:spacing w:line="360" w:lineRule="auto"/>
              <w:rPr>
                <w:rFonts w:hint="eastAsia" w:ascii="仿宋" w:hAnsi="仿宋" w:eastAsia="仿宋" w:cs="仿宋"/>
                <w:b w:val="0"/>
                <w:bCs/>
                <w:color w:val="auto"/>
                <w:sz w:val="24"/>
                <w:szCs w:val="24"/>
              </w:rPr>
            </w:pPr>
          </w:p>
        </w:tc>
        <w:tc>
          <w:tcPr>
            <w:tcW w:w="977" w:type="dxa"/>
            <w:noWrap w:val="0"/>
            <w:vAlign w:val="center"/>
          </w:tcPr>
          <w:p w14:paraId="02016901">
            <w:pPr>
              <w:spacing w:line="360" w:lineRule="auto"/>
              <w:rPr>
                <w:rFonts w:hint="eastAsia" w:ascii="仿宋" w:hAnsi="仿宋" w:eastAsia="仿宋" w:cs="仿宋"/>
                <w:b w:val="0"/>
                <w:bCs/>
                <w:color w:val="auto"/>
                <w:sz w:val="24"/>
                <w:szCs w:val="24"/>
              </w:rPr>
            </w:pPr>
          </w:p>
        </w:tc>
        <w:tc>
          <w:tcPr>
            <w:tcW w:w="1150" w:type="dxa"/>
            <w:noWrap w:val="0"/>
            <w:vAlign w:val="center"/>
          </w:tcPr>
          <w:p w14:paraId="63C49DD1">
            <w:pPr>
              <w:spacing w:line="360" w:lineRule="auto"/>
              <w:rPr>
                <w:rFonts w:hint="eastAsia" w:ascii="仿宋" w:hAnsi="仿宋" w:eastAsia="仿宋" w:cs="仿宋"/>
                <w:b w:val="0"/>
                <w:bCs/>
                <w:color w:val="auto"/>
                <w:sz w:val="24"/>
                <w:szCs w:val="24"/>
              </w:rPr>
            </w:pPr>
          </w:p>
        </w:tc>
        <w:tc>
          <w:tcPr>
            <w:tcW w:w="992" w:type="dxa"/>
            <w:noWrap w:val="0"/>
            <w:vAlign w:val="center"/>
          </w:tcPr>
          <w:p w14:paraId="505538C6">
            <w:pPr>
              <w:spacing w:line="360" w:lineRule="auto"/>
              <w:rPr>
                <w:rFonts w:hint="eastAsia" w:ascii="仿宋" w:hAnsi="仿宋" w:eastAsia="仿宋" w:cs="仿宋"/>
                <w:b w:val="0"/>
                <w:bCs/>
                <w:color w:val="auto"/>
                <w:sz w:val="24"/>
                <w:szCs w:val="24"/>
              </w:rPr>
            </w:pPr>
          </w:p>
        </w:tc>
        <w:tc>
          <w:tcPr>
            <w:tcW w:w="1418" w:type="dxa"/>
            <w:noWrap w:val="0"/>
            <w:vAlign w:val="center"/>
          </w:tcPr>
          <w:p w14:paraId="070CF3AF">
            <w:pPr>
              <w:spacing w:line="360" w:lineRule="auto"/>
              <w:rPr>
                <w:rFonts w:hint="eastAsia" w:ascii="仿宋" w:hAnsi="仿宋" w:eastAsia="仿宋" w:cs="仿宋"/>
                <w:b w:val="0"/>
                <w:bCs/>
                <w:color w:val="auto"/>
                <w:sz w:val="24"/>
                <w:szCs w:val="24"/>
              </w:rPr>
            </w:pPr>
          </w:p>
        </w:tc>
        <w:tc>
          <w:tcPr>
            <w:tcW w:w="1506" w:type="dxa"/>
            <w:noWrap w:val="0"/>
            <w:vAlign w:val="center"/>
          </w:tcPr>
          <w:p w14:paraId="2113E04E">
            <w:pPr>
              <w:spacing w:line="360" w:lineRule="auto"/>
              <w:rPr>
                <w:rFonts w:hint="eastAsia" w:ascii="仿宋" w:hAnsi="仿宋" w:eastAsia="仿宋" w:cs="仿宋"/>
                <w:b w:val="0"/>
                <w:bCs/>
                <w:color w:val="auto"/>
                <w:sz w:val="24"/>
                <w:szCs w:val="24"/>
              </w:rPr>
            </w:pPr>
          </w:p>
        </w:tc>
      </w:tr>
      <w:tr w14:paraId="07DD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14:paraId="4BE6C45A">
            <w:pPr>
              <w:spacing w:line="360" w:lineRule="auto"/>
              <w:rPr>
                <w:rFonts w:hint="eastAsia" w:ascii="仿宋" w:hAnsi="仿宋" w:eastAsia="仿宋" w:cs="仿宋"/>
                <w:b w:val="0"/>
                <w:bCs/>
                <w:color w:val="auto"/>
                <w:sz w:val="24"/>
                <w:szCs w:val="24"/>
              </w:rPr>
            </w:pPr>
          </w:p>
        </w:tc>
        <w:tc>
          <w:tcPr>
            <w:tcW w:w="1669" w:type="dxa"/>
            <w:vMerge w:val="continue"/>
            <w:noWrap w:val="0"/>
            <w:vAlign w:val="center"/>
          </w:tcPr>
          <w:p w14:paraId="34973277">
            <w:pPr>
              <w:spacing w:line="360" w:lineRule="auto"/>
              <w:rPr>
                <w:rFonts w:hint="eastAsia" w:ascii="仿宋" w:hAnsi="仿宋" w:eastAsia="仿宋" w:cs="仿宋"/>
                <w:b w:val="0"/>
                <w:bCs/>
                <w:color w:val="auto"/>
                <w:sz w:val="24"/>
                <w:szCs w:val="24"/>
              </w:rPr>
            </w:pPr>
          </w:p>
        </w:tc>
        <w:tc>
          <w:tcPr>
            <w:tcW w:w="977" w:type="dxa"/>
            <w:noWrap w:val="0"/>
            <w:vAlign w:val="center"/>
          </w:tcPr>
          <w:p w14:paraId="32E4D75F">
            <w:pPr>
              <w:spacing w:line="360" w:lineRule="auto"/>
              <w:rPr>
                <w:rFonts w:hint="eastAsia" w:ascii="仿宋" w:hAnsi="仿宋" w:eastAsia="仿宋" w:cs="仿宋"/>
                <w:b w:val="0"/>
                <w:bCs/>
                <w:color w:val="auto"/>
                <w:sz w:val="24"/>
                <w:szCs w:val="24"/>
              </w:rPr>
            </w:pPr>
          </w:p>
        </w:tc>
        <w:tc>
          <w:tcPr>
            <w:tcW w:w="1150" w:type="dxa"/>
            <w:noWrap w:val="0"/>
            <w:vAlign w:val="center"/>
          </w:tcPr>
          <w:p w14:paraId="28A88119">
            <w:pPr>
              <w:spacing w:line="360" w:lineRule="auto"/>
              <w:rPr>
                <w:rFonts w:hint="eastAsia" w:ascii="仿宋" w:hAnsi="仿宋" w:eastAsia="仿宋" w:cs="仿宋"/>
                <w:b w:val="0"/>
                <w:bCs/>
                <w:color w:val="auto"/>
                <w:sz w:val="24"/>
                <w:szCs w:val="24"/>
              </w:rPr>
            </w:pPr>
          </w:p>
        </w:tc>
        <w:tc>
          <w:tcPr>
            <w:tcW w:w="992" w:type="dxa"/>
            <w:noWrap w:val="0"/>
            <w:vAlign w:val="center"/>
          </w:tcPr>
          <w:p w14:paraId="6969B921">
            <w:pPr>
              <w:spacing w:line="360" w:lineRule="auto"/>
              <w:rPr>
                <w:rFonts w:hint="eastAsia" w:ascii="仿宋" w:hAnsi="仿宋" w:eastAsia="仿宋" w:cs="仿宋"/>
                <w:b w:val="0"/>
                <w:bCs/>
                <w:color w:val="auto"/>
                <w:sz w:val="24"/>
                <w:szCs w:val="24"/>
              </w:rPr>
            </w:pPr>
          </w:p>
        </w:tc>
        <w:tc>
          <w:tcPr>
            <w:tcW w:w="1418" w:type="dxa"/>
            <w:noWrap w:val="0"/>
            <w:vAlign w:val="center"/>
          </w:tcPr>
          <w:p w14:paraId="457A3FA7">
            <w:pPr>
              <w:spacing w:line="360" w:lineRule="auto"/>
              <w:rPr>
                <w:rFonts w:hint="eastAsia" w:ascii="仿宋" w:hAnsi="仿宋" w:eastAsia="仿宋" w:cs="仿宋"/>
                <w:b w:val="0"/>
                <w:bCs/>
                <w:color w:val="auto"/>
                <w:sz w:val="24"/>
                <w:szCs w:val="24"/>
              </w:rPr>
            </w:pPr>
          </w:p>
        </w:tc>
        <w:tc>
          <w:tcPr>
            <w:tcW w:w="1506" w:type="dxa"/>
            <w:noWrap w:val="0"/>
            <w:vAlign w:val="center"/>
          </w:tcPr>
          <w:p w14:paraId="266599A0">
            <w:pPr>
              <w:spacing w:line="360" w:lineRule="auto"/>
              <w:rPr>
                <w:rFonts w:hint="eastAsia" w:ascii="仿宋" w:hAnsi="仿宋" w:eastAsia="仿宋" w:cs="仿宋"/>
                <w:b w:val="0"/>
                <w:bCs/>
                <w:color w:val="auto"/>
                <w:sz w:val="24"/>
                <w:szCs w:val="24"/>
              </w:rPr>
            </w:pPr>
          </w:p>
        </w:tc>
      </w:tr>
      <w:tr w14:paraId="72CF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14:paraId="6B3C7697">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c>
          <w:tcPr>
            <w:tcW w:w="1669" w:type="dxa"/>
            <w:vMerge w:val="restart"/>
            <w:noWrap w:val="0"/>
            <w:vAlign w:val="center"/>
          </w:tcPr>
          <w:p w14:paraId="62CF24A2">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977" w:type="dxa"/>
            <w:noWrap w:val="0"/>
            <w:vAlign w:val="center"/>
          </w:tcPr>
          <w:p w14:paraId="7430BD4D">
            <w:pPr>
              <w:spacing w:line="360" w:lineRule="auto"/>
              <w:rPr>
                <w:rFonts w:hint="eastAsia" w:ascii="仿宋" w:hAnsi="仿宋" w:eastAsia="仿宋" w:cs="仿宋"/>
                <w:b w:val="0"/>
                <w:bCs/>
                <w:color w:val="auto"/>
                <w:sz w:val="24"/>
                <w:szCs w:val="24"/>
              </w:rPr>
            </w:pPr>
          </w:p>
        </w:tc>
        <w:tc>
          <w:tcPr>
            <w:tcW w:w="1150" w:type="dxa"/>
            <w:noWrap w:val="0"/>
            <w:vAlign w:val="center"/>
          </w:tcPr>
          <w:p w14:paraId="6AACAF7C">
            <w:pPr>
              <w:spacing w:line="360" w:lineRule="auto"/>
              <w:rPr>
                <w:rFonts w:hint="eastAsia" w:ascii="仿宋" w:hAnsi="仿宋" w:eastAsia="仿宋" w:cs="仿宋"/>
                <w:b w:val="0"/>
                <w:bCs/>
                <w:color w:val="auto"/>
                <w:sz w:val="24"/>
                <w:szCs w:val="24"/>
              </w:rPr>
            </w:pPr>
          </w:p>
        </w:tc>
        <w:tc>
          <w:tcPr>
            <w:tcW w:w="992" w:type="dxa"/>
            <w:noWrap w:val="0"/>
            <w:vAlign w:val="center"/>
          </w:tcPr>
          <w:p w14:paraId="6F8AD6D7">
            <w:pPr>
              <w:spacing w:line="360" w:lineRule="auto"/>
              <w:rPr>
                <w:rFonts w:hint="eastAsia" w:ascii="仿宋" w:hAnsi="仿宋" w:eastAsia="仿宋" w:cs="仿宋"/>
                <w:b w:val="0"/>
                <w:bCs/>
                <w:color w:val="auto"/>
                <w:sz w:val="24"/>
                <w:szCs w:val="24"/>
              </w:rPr>
            </w:pPr>
          </w:p>
        </w:tc>
        <w:tc>
          <w:tcPr>
            <w:tcW w:w="1418" w:type="dxa"/>
            <w:noWrap w:val="0"/>
            <w:vAlign w:val="center"/>
          </w:tcPr>
          <w:p w14:paraId="36205BD0">
            <w:pPr>
              <w:spacing w:line="360" w:lineRule="auto"/>
              <w:rPr>
                <w:rFonts w:hint="eastAsia" w:ascii="仿宋" w:hAnsi="仿宋" w:eastAsia="仿宋" w:cs="仿宋"/>
                <w:b w:val="0"/>
                <w:bCs/>
                <w:color w:val="auto"/>
                <w:sz w:val="24"/>
                <w:szCs w:val="24"/>
              </w:rPr>
            </w:pPr>
          </w:p>
        </w:tc>
        <w:tc>
          <w:tcPr>
            <w:tcW w:w="1506" w:type="dxa"/>
            <w:noWrap w:val="0"/>
            <w:vAlign w:val="center"/>
          </w:tcPr>
          <w:p w14:paraId="34510522">
            <w:pPr>
              <w:spacing w:line="360" w:lineRule="auto"/>
              <w:rPr>
                <w:rFonts w:hint="eastAsia" w:ascii="仿宋" w:hAnsi="仿宋" w:eastAsia="仿宋" w:cs="仿宋"/>
                <w:b w:val="0"/>
                <w:bCs/>
                <w:color w:val="auto"/>
                <w:sz w:val="24"/>
                <w:szCs w:val="24"/>
              </w:rPr>
            </w:pPr>
          </w:p>
        </w:tc>
      </w:tr>
      <w:tr w14:paraId="0E85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14:paraId="6BA4ECF4">
            <w:pPr>
              <w:spacing w:line="360" w:lineRule="auto"/>
              <w:rPr>
                <w:rFonts w:hint="eastAsia" w:ascii="仿宋" w:hAnsi="仿宋" w:eastAsia="仿宋" w:cs="仿宋"/>
                <w:b w:val="0"/>
                <w:bCs/>
                <w:color w:val="auto"/>
                <w:sz w:val="24"/>
                <w:szCs w:val="24"/>
              </w:rPr>
            </w:pPr>
          </w:p>
        </w:tc>
        <w:tc>
          <w:tcPr>
            <w:tcW w:w="1669" w:type="dxa"/>
            <w:vMerge w:val="continue"/>
            <w:noWrap w:val="0"/>
            <w:vAlign w:val="center"/>
          </w:tcPr>
          <w:p w14:paraId="06ABFC01">
            <w:pPr>
              <w:spacing w:line="360" w:lineRule="auto"/>
              <w:rPr>
                <w:rFonts w:hint="eastAsia" w:ascii="仿宋" w:hAnsi="仿宋" w:eastAsia="仿宋" w:cs="仿宋"/>
                <w:b w:val="0"/>
                <w:bCs/>
                <w:color w:val="auto"/>
                <w:sz w:val="24"/>
                <w:szCs w:val="24"/>
              </w:rPr>
            </w:pPr>
          </w:p>
        </w:tc>
        <w:tc>
          <w:tcPr>
            <w:tcW w:w="977" w:type="dxa"/>
            <w:noWrap w:val="0"/>
            <w:vAlign w:val="center"/>
          </w:tcPr>
          <w:p w14:paraId="500B31DB">
            <w:pPr>
              <w:spacing w:line="360" w:lineRule="auto"/>
              <w:rPr>
                <w:rFonts w:hint="eastAsia" w:ascii="仿宋" w:hAnsi="仿宋" w:eastAsia="仿宋" w:cs="仿宋"/>
                <w:b w:val="0"/>
                <w:bCs/>
                <w:color w:val="auto"/>
                <w:sz w:val="24"/>
                <w:szCs w:val="24"/>
              </w:rPr>
            </w:pPr>
          </w:p>
        </w:tc>
        <w:tc>
          <w:tcPr>
            <w:tcW w:w="1150" w:type="dxa"/>
            <w:noWrap w:val="0"/>
            <w:vAlign w:val="center"/>
          </w:tcPr>
          <w:p w14:paraId="5B3D6778">
            <w:pPr>
              <w:spacing w:line="360" w:lineRule="auto"/>
              <w:rPr>
                <w:rFonts w:hint="eastAsia" w:ascii="仿宋" w:hAnsi="仿宋" w:eastAsia="仿宋" w:cs="仿宋"/>
                <w:b w:val="0"/>
                <w:bCs/>
                <w:color w:val="auto"/>
                <w:sz w:val="24"/>
                <w:szCs w:val="24"/>
              </w:rPr>
            </w:pPr>
          </w:p>
        </w:tc>
        <w:tc>
          <w:tcPr>
            <w:tcW w:w="992" w:type="dxa"/>
            <w:noWrap w:val="0"/>
            <w:vAlign w:val="center"/>
          </w:tcPr>
          <w:p w14:paraId="4E8B6A1F">
            <w:pPr>
              <w:spacing w:line="360" w:lineRule="auto"/>
              <w:rPr>
                <w:rFonts w:hint="eastAsia" w:ascii="仿宋" w:hAnsi="仿宋" w:eastAsia="仿宋" w:cs="仿宋"/>
                <w:b w:val="0"/>
                <w:bCs/>
                <w:color w:val="auto"/>
                <w:sz w:val="24"/>
                <w:szCs w:val="24"/>
              </w:rPr>
            </w:pPr>
          </w:p>
        </w:tc>
        <w:tc>
          <w:tcPr>
            <w:tcW w:w="1418" w:type="dxa"/>
            <w:noWrap w:val="0"/>
            <w:vAlign w:val="center"/>
          </w:tcPr>
          <w:p w14:paraId="64F60FED">
            <w:pPr>
              <w:spacing w:line="360" w:lineRule="auto"/>
              <w:rPr>
                <w:rFonts w:hint="eastAsia" w:ascii="仿宋" w:hAnsi="仿宋" w:eastAsia="仿宋" w:cs="仿宋"/>
                <w:b w:val="0"/>
                <w:bCs/>
                <w:color w:val="auto"/>
                <w:sz w:val="24"/>
                <w:szCs w:val="24"/>
              </w:rPr>
            </w:pPr>
          </w:p>
        </w:tc>
        <w:tc>
          <w:tcPr>
            <w:tcW w:w="1506" w:type="dxa"/>
            <w:noWrap w:val="0"/>
            <w:vAlign w:val="center"/>
          </w:tcPr>
          <w:p w14:paraId="611BF482">
            <w:pPr>
              <w:spacing w:line="360" w:lineRule="auto"/>
              <w:rPr>
                <w:rFonts w:hint="eastAsia" w:ascii="仿宋" w:hAnsi="仿宋" w:eastAsia="仿宋" w:cs="仿宋"/>
                <w:b w:val="0"/>
                <w:bCs/>
                <w:color w:val="auto"/>
                <w:sz w:val="24"/>
                <w:szCs w:val="24"/>
              </w:rPr>
            </w:pPr>
          </w:p>
        </w:tc>
      </w:tr>
      <w:tr w14:paraId="38B3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14:paraId="7B4046BE">
            <w:pPr>
              <w:spacing w:line="360" w:lineRule="auto"/>
              <w:rPr>
                <w:rFonts w:hint="eastAsia" w:ascii="仿宋" w:hAnsi="仿宋" w:eastAsia="仿宋" w:cs="仿宋"/>
                <w:b w:val="0"/>
                <w:bCs/>
                <w:color w:val="auto"/>
                <w:sz w:val="24"/>
                <w:szCs w:val="24"/>
              </w:rPr>
            </w:pPr>
          </w:p>
        </w:tc>
        <w:tc>
          <w:tcPr>
            <w:tcW w:w="1669" w:type="dxa"/>
            <w:vMerge w:val="continue"/>
            <w:noWrap w:val="0"/>
            <w:vAlign w:val="center"/>
          </w:tcPr>
          <w:p w14:paraId="2D32FF4E">
            <w:pPr>
              <w:spacing w:line="360" w:lineRule="auto"/>
              <w:rPr>
                <w:rFonts w:hint="eastAsia" w:ascii="仿宋" w:hAnsi="仿宋" w:eastAsia="仿宋" w:cs="仿宋"/>
                <w:b w:val="0"/>
                <w:bCs/>
                <w:color w:val="auto"/>
                <w:sz w:val="24"/>
                <w:szCs w:val="24"/>
              </w:rPr>
            </w:pPr>
          </w:p>
        </w:tc>
        <w:tc>
          <w:tcPr>
            <w:tcW w:w="977" w:type="dxa"/>
            <w:noWrap w:val="0"/>
            <w:vAlign w:val="center"/>
          </w:tcPr>
          <w:p w14:paraId="42BB2BFE">
            <w:pPr>
              <w:spacing w:line="360" w:lineRule="auto"/>
              <w:rPr>
                <w:rFonts w:hint="eastAsia" w:ascii="仿宋" w:hAnsi="仿宋" w:eastAsia="仿宋" w:cs="仿宋"/>
                <w:b w:val="0"/>
                <w:bCs/>
                <w:color w:val="auto"/>
                <w:sz w:val="24"/>
                <w:szCs w:val="24"/>
              </w:rPr>
            </w:pPr>
          </w:p>
        </w:tc>
        <w:tc>
          <w:tcPr>
            <w:tcW w:w="1150" w:type="dxa"/>
            <w:noWrap w:val="0"/>
            <w:vAlign w:val="center"/>
          </w:tcPr>
          <w:p w14:paraId="02C3D6D0">
            <w:pPr>
              <w:spacing w:line="360" w:lineRule="auto"/>
              <w:rPr>
                <w:rFonts w:hint="eastAsia" w:ascii="仿宋" w:hAnsi="仿宋" w:eastAsia="仿宋" w:cs="仿宋"/>
                <w:b w:val="0"/>
                <w:bCs/>
                <w:color w:val="auto"/>
                <w:sz w:val="24"/>
                <w:szCs w:val="24"/>
              </w:rPr>
            </w:pPr>
          </w:p>
        </w:tc>
        <w:tc>
          <w:tcPr>
            <w:tcW w:w="992" w:type="dxa"/>
            <w:noWrap w:val="0"/>
            <w:vAlign w:val="center"/>
          </w:tcPr>
          <w:p w14:paraId="377077CC">
            <w:pPr>
              <w:spacing w:line="360" w:lineRule="auto"/>
              <w:rPr>
                <w:rFonts w:hint="eastAsia" w:ascii="仿宋" w:hAnsi="仿宋" w:eastAsia="仿宋" w:cs="仿宋"/>
                <w:b w:val="0"/>
                <w:bCs/>
                <w:color w:val="auto"/>
                <w:sz w:val="24"/>
                <w:szCs w:val="24"/>
              </w:rPr>
            </w:pPr>
          </w:p>
        </w:tc>
        <w:tc>
          <w:tcPr>
            <w:tcW w:w="1418" w:type="dxa"/>
            <w:noWrap w:val="0"/>
            <w:vAlign w:val="center"/>
          </w:tcPr>
          <w:p w14:paraId="0C2E1C41">
            <w:pPr>
              <w:spacing w:line="360" w:lineRule="auto"/>
              <w:rPr>
                <w:rFonts w:hint="eastAsia" w:ascii="仿宋" w:hAnsi="仿宋" w:eastAsia="仿宋" w:cs="仿宋"/>
                <w:b w:val="0"/>
                <w:bCs/>
                <w:color w:val="auto"/>
                <w:sz w:val="24"/>
                <w:szCs w:val="24"/>
              </w:rPr>
            </w:pPr>
          </w:p>
        </w:tc>
        <w:tc>
          <w:tcPr>
            <w:tcW w:w="1506" w:type="dxa"/>
            <w:noWrap w:val="0"/>
            <w:vAlign w:val="center"/>
          </w:tcPr>
          <w:p w14:paraId="2FB6C287">
            <w:pPr>
              <w:spacing w:line="360" w:lineRule="auto"/>
              <w:rPr>
                <w:rFonts w:hint="eastAsia" w:ascii="仿宋" w:hAnsi="仿宋" w:eastAsia="仿宋" w:cs="仿宋"/>
                <w:b w:val="0"/>
                <w:bCs/>
                <w:color w:val="auto"/>
                <w:sz w:val="24"/>
                <w:szCs w:val="24"/>
              </w:rPr>
            </w:pPr>
          </w:p>
        </w:tc>
      </w:tr>
      <w:tr w14:paraId="0A1B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14:paraId="489EF86E">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1669" w:type="dxa"/>
            <w:vMerge w:val="restart"/>
            <w:noWrap w:val="0"/>
            <w:vAlign w:val="center"/>
          </w:tcPr>
          <w:p w14:paraId="21898CB5">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其他要求</w:t>
            </w:r>
          </w:p>
        </w:tc>
        <w:tc>
          <w:tcPr>
            <w:tcW w:w="977" w:type="dxa"/>
            <w:noWrap w:val="0"/>
            <w:vAlign w:val="center"/>
          </w:tcPr>
          <w:p w14:paraId="30786100">
            <w:pPr>
              <w:spacing w:line="360" w:lineRule="auto"/>
              <w:rPr>
                <w:rFonts w:hint="eastAsia" w:ascii="仿宋" w:hAnsi="仿宋" w:eastAsia="仿宋" w:cs="仿宋"/>
                <w:b w:val="0"/>
                <w:bCs/>
                <w:color w:val="auto"/>
                <w:sz w:val="24"/>
                <w:szCs w:val="24"/>
              </w:rPr>
            </w:pPr>
          </w:p>
        </w:tc>
        <w:tc>
          <w:tcPr>
            <w:tcW w:w="1150" w:type="dxa"/>
            <w:noWrap w:val="0"/>
            <w:vAlign w:val="center"/>
          </w:tcPr>
          <w:p w14:paraId="04831A62">
            <w:pPr>
              <w:spacing w:line="360" w:lineRule="auto"/>
              <w:rPr>
                <w:rFonts w:hint="eastAsia" w:ascii="仿宋" w:hAnsi="仿宋" w:eastAsia="仿宋" w:cs="仿宋"/>
                <w:b w:val="0"/>
                <w:bCs/>
                <w:color w:val="auto"/>
                <w:sz w:val="24"/>
                <w:szCs w:val="24"/>
              </w:rPr>
            </w:pPr>
          </w:p>
        </w:tc>
        <w:tc>
          <w:tcPr>
            <w:tcW w:w="992" w:type="dxa"/>
            <w:noWrap w:val="0"/>
            <w:vAlign w:val="center"/>
          </w:tcPr>
          <w:p w14:paraId="36B0287F">
            <w:pPr>
              <w:spacing w:line="360" w:lineRule="auto"/>
              <w:rPr>
                <w:rFonts w:hint="eastAsia" w:ascii="仿宋" w:hAnsi="仿宋" w:eastAsia="仿宋" w:cs="仿宋"/>
                <w:b w:val="0"/>
                <w:bCs/>
                <w:color w:val="auto"/>
                <w:sz w:val="24"/>
                <w:szCs w:val="24"/>
              </w:rPr>
            </w:pPr>
          </w:p>
        </w:tc>
        <w:tc>
          <w:tcPr>
            <w:tcW w:w="1418" w:type="dxa"/>
            <w:noWrap w:val="0"/>
            <w:vAlign w:val="center"/>
          </w:tcPr>
          <w:p w14:paraId="6A68D464">
            <w:pPr>
              <w:spacing w:line="360" w:lineRule="auto"/>
              <w:rPr>
                <w:rFonts w:hint="eastAsia" w:ascii="仿宋" w:hAnsi="仿宋" w:eastAsia="仿宋" w:cs="仿宋"/>
                <w:b w:val="0"/>
                <w:bCs/>
                <w:color w:val="auto"/>
                <w:sz w:val="24"/>
                <w:szCs w:val="24"/>
              </w:rPr>
            </w:pPr>
          </w:p>
        </w:tc>
        <w:tc>
          <w:tcPr>
            <w:tcW w:w="1506" w:type="dxa"/>
            <w:noWrap w:val="0"/>
            <w:vAlign w:val="center"/>
          </w:tcPr>
          <w:p w14:paraId="6CF1C043">
            <w:pPr>
              <w:spacing w:line="360" w:lineRule="auto"/>
              <w:rPr>
                <w:rFonts w:hint="eastAsia" w:ascii="仿宋" w:hAnsi="仿宋" w:eastAsia="仿宋" w:cs="仿宋"/>
                <w:b w:val="0"/>
                <w:bCs/>
                <w:color w:val="auto"/>
                <w:sz w:val="24"/>
                <w:szCs w:val="24"/>
              </w:rPr>
            </w:pPr>
          </w:p>
        </w:tc>
      </w:tr>
      <w:tr w14:paraId="6161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14:paraId="6B29630A">
            <w:pPr>
              <w:spacing w:line="360" w:lineRule="auto"/>
              <w:rPr>
                <w:rFonts w:hint="eastAsia" w:ascii="仿宋" w:hAnsi="仿宋" w:eastAsia="仿宋" w:cs="仿宋"/>
                <w:b w:val="0"/>
                <w:bCs/>
                <w:color w:val="auto"/>
                <w:sz w:val="24"/>
                <w:szCs w:val="24"/>
              </w:rPr>
            </w:pPr>
          </w:p>
        </w:tc>
        <w:tc>
          <w:tcPr>
            <w:tcW w:w="1669" w:type="dxa"/>
            <w:vMerge w:val="continue"/>
            <w:noWrap w:val="0"/>
            <w:vAlign w:val="center"/>
          </w:tcPr>
          <w:p w14:paraId="674747EB">
            <w:pPr>
              <w:spacing w:line="360" w:lineRule="auto"/>
              <w:rPr>
                <w:rFonts w:hint="eastAsia" w:ascii="仿宋" w:hAnsi="仿宋" w:eastAsia="仿宋" w:cs="仿宋"/>
                <w:b w:val="0"/>
                <w:bCs/>
                <w:color w:val="auto"/>
                <w:sz w:val="24"/>
                <w:szCs w:val="24"/>
              </w:rPr>
            </w:pPr>
          </w:p>
        </w:tc>
        <w:tc>
          <w:tcPr>
            <w:tcW w:w="977" w:type="dxa"/>
            <w:noWrap w:val="0"/>
            <w:vAlign w:val="center"/>
          </w:tcPr>
          <w:p w14:paraId="47A5CB17">
            <w:pPr>
              <w:spacing w:line="360" w:lineRule="auto"/>
              <w:rPr>
                <w:rFonts w:hint="eastAsia" w:ascii="仿宋" w:hAnsi="仿宋" w:eastAsia="仿宋" w:cs="仿宋"/>
                <w:b w:val="0"/>
                <w:bCs/>
                <w:color w:val="auto"/>
                <w:sz w:val="24"/>
                <w:szCs w:val="24"/>
              </w:rPr>
            </w:pPr>
          </w:p>
        </w:tc>
        <w:tc>
          <w:tcPr>
            <w:tcW w:w="1150" w:type="dxa"/>
            <w:noWrap w:val="0"/>
            <w:vAlign w:val="center"/>
          </w:tcPr>
          <w:p w14:paraId="53E68E5B">
            <w:pPr>
              <w:spacing w:line="360" w:lineRule="auto"/>
              <w:rPr>
                <w:rFonts w:hint="eastAsia" w:ascii="仿宋" w:hAnsi="仿宋" w:eastAsia="仿宋" w:cs="仿宋"/>
                <w:b w:val="0"/>
                <w:bCs/>
                <w:color w:val="auto"/>
                <w:sz w:val="24"/>
                <w:szCs w:val="24"/>
              </w:rPr>
            </w:pPr>
          </w:p>
        </w:tc>
        <w:tc>
          <w:tcPr>
            <w:tcW w:w="992" w:type="dxa"/>
            <w:noWrap w:val="0"/>
            <w:vAlign w:val="center"/>
          </w:tcPr>
          <w:p w14:paraId="3DB880B3">
            <w:pPr>
              <w:spacing w:line="360" w:lineRule="auto"/>
              <w:rPr>
                <w:rFonts w:hint="eastAsia" w:ascii="仿宋" w:hAnsi="仿宋" w:eastAsia="仿宋" w:cs="仿宋"/>
                <w:b w:val="0"/>
                <w:bCs/>
                <w:color w:val="auto"/>
                <w:sz w:val="24"/>
                <w:szCs w:val="24"/>
              </w:rPr>
            </w:pPr>
          </w:p>
        </w:tc>
        <w:tc>
          <w:tcPr>
            <w:tcW w:w="1418" w:type="dxa"/>
            <w:noWrap w:val="0"/>
            <w:vAlign w:val="center"/>
          </w:tcPr>
          <w:p w14:paraId="0E9ABD14">
            <w:pPr>
              <w:spacing w:line="360" w:lineRule="auto"/>
              <w:rPr>
                <w:rFonts w:hint="eastAsia" w:ascii="仿宋" w:hAnsi="仿宋" w:eastAsia="仿宋" w:cs="仿宋"/>
                <w:b w:val="0"/>
                <w:bCs/>
                <w:color w:val="auto"/>
                <w:sz w:val="24"/>
                <w:szCs w:val="24"/>
              </w:rPr>
            </w:pPr>
          </w:p>
        </w:tc>
        <w:tc>
          <w:tcPr>
            <w:tcW w:w="1506" w:type="dxa"/>
            <w:noWrap w:val="0"/>
            <w:vAlign w:val="center"/>
          </w:tcPr>
          <w:p w14:paraId="6B1A76E3">
            <w:pPr>
              <w:spacing w:line="360" w:lineRule="auto"/>
              <w:rPr>
                <w:rFonts w:hint="eastAsia" w:ascii="仿宋" w:hAnsi="仿宋" w:eastAsia="仿宋" w:cs="仿宋"/>
                <w:b w:val="0"/>
                <w:bCs/>
                <w:color w:val="auto"/>
                <w:sz w:val="24"/>
                <w:szCs w:val="24"/>
              </w:rPr>
            </w:pPr>
          </w:p>
        </w:tc>
      </w:tr>
    </w:tbl>
    <w:p w14:paraId="485567B0">
      <w:pPr>
        <w:spacing w:line="360" w:lineRule="auto"/>
        <w:rPr>
          <w:rFonts w:hint="eastAsia" w:ascii="仿宋" w:hAnsi="仿宋" w:eastAsia="仿宋" w:cs="仿宋"/>
          <w:color w:val="auto"/>
        </w:rPr>
      </w:pPr>
    </w:p>
    <w:p w14:paraId="2FBC27BA">
      <w:pPr>
        <w:spacing w:line="360" w:lineRule="auto"/>
        <w:rPr>
          <w:rFonts w:hint="eastAsia" w:ascii="仿宋" w:hAnsi="仿宋" w:eastAsia="仿宋" w:cs="仿宋"/>
          <w:color w:val="auto"/>
          <w:sz w:val="24"/>
          <w:szCs w:val="24"/>
        </w:rPr>
      </w:pPr>
      <w:r>
        <w:rPr>
          <w:rFonts w:hint="eastAsia" w:ascii="仿宋" w:hAnsi="仿宋" w:eastAsia="仿宋" w:cs="仿宋"/>
          <w:sz w:val="24"/>
          <w:szCs w:val="24"/>
        </w:rPr>
        <w:t>供应商</w:t>
      </w:r>
      <w:r>
        <w:rPr>
          <w:rFonts w:hint="eastAsia" w:ascii="仿宋" w:hAnsi="仿宋" w:eastAsia="仿宋" w:cs="仿宋"/>
          <w:color w:val="auto"/>
          <w:sz w:val="24"/>
          <w:szCs w:val="24"/>
        </w:rPr>
        <w:t>保证：除技术</w:t>
      </w:r>
      <w:r>
        <w:rPr>
          <w:rFonts w:hint="eastAsia" w:ascii="仿宋" w:hAnsi="仿宋" w:eastAsia="仿宋" w:cs="仿宋"/>
          <w:color w:val="auto"/>
          <w:sz w:val="24"/>
          <w:szCs w:val="24"/>
          <w:lang w:eastAsia="zh-CN"/>
        </w:rPr>
        <w:t>条款</w:t>
      </w:r>
      <w:r>
        <w:rPr>
          <w:rFonts w:hint="eastAsia" w:ascii="仿宋" w:hAnsi="仿宋" w:eastAsia="仿宋" w:cs="仿宋"/>
          <w:color w:val="auto"/>
          <w:sz w:val="24"/>
          <w:szCs w:val="24"/>
        </w:rPr>
        <w:t>偏差表列出的偏差外，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响应</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文件的全部要求。</w:t>
      </w:r>
    </w:p>
    <w:p w14:paraId="0F901CAF">
      <w:pPr>
        <w:rPr>
          <w:rFonts w:hint="eastAsia" w:ascii="仿宋" w:hAnsi="仿宋" w:eastAsia="仿宋" w:cs="仿宋"/>
          <w:color w:val="auto"/>
        </w:rPr>
      </w:pPr>
      <w:r>
        <w:rPr>
          <w:rFonts w:hint="eastAsia" w:ascii="仿宋" w:hAnsi="仿宋" w:eastAsia="仿宋" w:cs="仿宋"/>
          <w:color w:val="auto"/>
        </w:rPr>
        <w:br w:type="page"/>
      </w:r>
    </w:p>
    <w:p w14:paraId="4E7F37BA">
      <w:pPr>
        <w:pStyle w:val="4"/>
        <w:outlineLvl w:val="9"/>
        <w:rPr>
          <w:rFonts w:hint="eastAsia" w:ascii="仿宋" w:hAnsi="仿宋" w:eastAsia="仿宋" w:cs="仿宋"/>
        </w:rPr>
      </w:pPr>
    </w:p>
    <w:p w14:paraId="7638F5D2">
      <w:pPr>
        <w:rPr>
          <w:rFonts w:hint="eastAsia" w:ascii="仿宋" w:hAnsi="仿宋" w:eastAsia="仿宋" w:cs="仿宋"/>
        </w:rPr>
      </w:pPr>
    </w:p>
    <w:p w14:paraId="33F3FC22">
      <w:pPr>
        <w:numPr>
          <w:ilvl w:val="0"/>
          <w:numId w:val="0"/>
        </w:numPr>
        <w:rPr>
          <w:rFonts w:hint="eastAsia" w:ascii="仿宋" w:hAnsi="仿宋" w:eastAsia="仿宋" w:cs="仿宋"/>
        </w:rPr>
      </w:pPr>
    </w:p>
    <w:p w14:paraId="72B9F9A6">
      <w:pPr>
        <w:pStyle w:val="4"/>
        <w:bidi w:val="0"/>
        <w:rPr>
          <w:rFonts w:ascii="Times New Roman" w:hAnsi="Times New Roman"/>
        </w:rPr>
      </w:pPr>
      <w:bookmarkStart w:id="597" w:name="_Toc5196"/>
      <w:bookmarkStart w:id="598" w:name="_Toc30246"/>
      <w:bookmarkStart w:id="599" w:name="_Toc151393519"/>
      <w:bookmarkStart w:id="600" w:name="_Toc18561"/>
      <w:bookmarkStart w:id="601" w:name="_Toc25917"/>
      <w:bookmarkStart w:id="602" w:name="_Toc12704"/>
      <w:bookmarkStart w:id="603" w:name="_Toc28121"/>
      <w:r>
        <w:rPr>
          <w:rFonts w:hint="eastAsia" w:ascii="仿宋" w:hAnsi="仿宋" w:eastAsia="仿宋"/>
          <w:bCs/>
          <w:kern w:val="0"/>
          <w:szCs w:val="28"/>
        </w:rPr>
        <w:t>（三）</w:t>
      </w:r>
      <w:r>
        <w:rPr>
          <w:rFonts w:hint="eastAsia" w:ascii="仿宋" w:hAnsi="仿宋" w:eastAsia="仿宋"/>
          <w:bCs/>
          <w:kern w:val="0"/>
          <w:szCs w:val="28"/>
          <w:lang w:val="en-US" w:eastAsia="zh-CN"/>
        </w:rPr>
        <w:t>关键</w:t>
      </w:r>
      <w:r>
        <w:rPr>
          <w:rFonts w:hint="eastAsia" w:ascii="仿宋" w:hAnsi="仿宋" w:eastAsia="仿宋"/>
          <w:bCs/>
          <w:kern w:val="0"/>
          <w:szCs w:val="28"/>
        </w:rPr>
        <w:t>条款技术支持资料</w:t>
      </w:r>
      <w:bookmarkEnd w:id="597"/>
      <w:bookmarkEnd w:id="598"/>
      <w:bookmarkEnd w:id="599"/>
      <w:bookmarkEnd w:id="600"/>
      <w:bookmarkEnd w:id="601"/>
      <w:bookmarkEnd w:id="602"/>
      <w:bookmarkEnd w:id="603"/>
    </w:p>
    <w:p w14:paraId="0229F1A4">
      <w:pPr>
        <w:ind w:firstLine="480" w:firstLineChars="200"/>
        <w:rPr>
          <w:rFonts w:hint="eastAsia" w:eastAsia="仿宋"/>
          <w:lang w:eastAsia="zh-CN"/>
        </w:rPr>
      </w:pPr>
      <w:r>
        <w:rPr>
          <w:rFonts w:hint="eastAsia" w:ascii="仿宋" w:hAnsi="仿宋" w:eastAsia="仿宋" w:cs="宋体"/>
          <w:sz w:val="24"/>
          <w:szCs w:val="24"/>
        </w:rPr>
        <w:t>如第五章</w:t>
      </w: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服务需求</w:t>
      </w: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中</w:t>
      </w:r>
      <w:r>
        <w:rPr>
          <w:rFonts w:hint="eastAsia" w:ascii="仿宋" w:hAnsi="仿宋" w:eastAsia="仿宋" w:cs="宋体"/>
          <w:sz w:val="24"/>
          <w:szCs w:val="24"/>
        </w:rPr>
        <w:t>要求</w:t>
      </w:r>
      <w:r>
        <w:rPr>
          <w:rFonts w:hint="eastAsia" w:ascii="仿宋" w:hAnsi="仿宋" w:eastAsia="仿宋" w:cs="宋体"/>
          <w:sz w:val="24"/>
          <w:szCs w:val="24"/>
          <w:lang w:val="en-US" w:eastAsia="zh-CN"/>
        </w:rPr>
        <w:t>供应商</w:t>
      </w:r>
      <w:r>
        <w:rPr>
          <w:rFonts w:hint="eastAsia" w:ascii="仿宋" w:hAnsi="仿宋" w:eastAsia="仿宋" w:cs="宋体"/>
          <w:sz w:val="24"/>
          <w:szCs w:val="24"/>
        </w:rPr>
        <w:t>针对</w:t>
      </w:r>
      <w:r>
        <w:rPr>
          <w:rFonts w:hint="eastAsia" w:ascii="仿宋" w:hAnsi="仿宋" w:eastAsia="仿宋" w:cs="宋体"/>
          <w:sz w:val="24"/>
          <w:szCs w:val="24"/>
          <w:lang w:val="en-US" w:eastAsia="zh-CN"/>
        </w:rPr>
        <w:t>关键</w:t>
      </w:r>
      <w:r>
        <w:rPr>
          <w:rFonts w:hint="eastAsia" w:ascii="仿宋" w:hAnsi="仿宋" w:eastAsia="仿宋" w:cs="宋体"/>
          <w:sz w:val="24"/>
          <w:szCs w:val="24"/>
        </w:rPr>
        <w:t>条款提供技术支持资料（详见相应条款具体要求），</w:t>
      </w:r>
      <w:r>
        <w:rPr>
          <w:rFonts w:hint="eastAsia" w:ascii="仿宋" w:hAnsi="仿宋" w:eastAsia="仿宋" w:cs="宋体"/>
          <w:sz w:val="24"/>
          <w:szCs w:val="24"/>
          <w:lang w:val="en-US" w:eastAsia="zh-CN"/>
        </w:rPr>
        <w:t>供应商</w:t>
      </w:r>
      <w:r>
        <w:rPr>
          <w:rFonts w:hint="eastAsia" w:ascii="仿宋" w:hAnsi="仿宋" w:eastAsia="仿宋" w:cs="宋体"/>
          <w:sz w:val="24"/>
          <w:szCs w:val="24"/>
        </w:rPr>
        <w:t>必须提供</w:t>
      </w:r>
      <w:r>
        <w:rPr>
          <w:rFonts w:hint="eastAsia" w:ascii="仿宋" w:hAnsi="仿宋" w:eastAsia="仿宋" w:cs="宋体"/>
          <w:sz w:val="24"/>
          <w:szCs w:val="24"/>
          <w:lang w:eastAsia="zh-CN"/>
        </w:rPr>
        <w:t>。</w:t>
      </w:r>
    </w:p>
    <w:p w14:paraId="456A6DA9">
      <w:pPr>
        <w:pStyle w:val="4"/>
        <w:spacing w:before="0" w:after="0"/>
        <w:ind w:firstLine="480"/>
        <w:jc w:val="center"/>
        <w:outlineLvl w:val="9"/>
        <w:rPr>
          <w:rFonts w:hint="eastAsia" w:ascii="仿宋" w:hAnsi="仿宋" w:eastAsia="仿宋" w:cs="仿宋"/>
          <w:color w:val="auto"/>
        </w:rPr>
        <w:sectPr>
          <w:footerReference r:id="rId3" w:type="default"/>
          <w:type w:val="continuous"/>
          <w:pgSz w:w="12240" w:h="15840"/>
          <w:pgMar w:top="1440" w:right="1800" w:bottom="1440" w:left="1800" w:header="720" w:footer="720" w:gutter="0"/>
          <w:cols w:space="720" w:num="1"/>
          <w:docGrid w:linePitch="285" w:charSpace="0"/>
        </w:sectPr>
      </w:pPr>
    </w:p>
    <w:p w14:paraId="7D1F64DF">
      <w:pPr>
        <w:spacing w:line="440" w:lineRule="exact"/>
        <w:ind w:firstLine="420" w:firstLineChars="200"/>
        <w:rPr>
          <w:rFonts w:hint="eastAsia" w:ascii="仿宋" w:hAnsi="仿宋" w:eastAsia="仿宋" w:cs="仿宋"/>
          <w:szCs w:val="21"/>
        </w:rPr>
      </w:pPr>
    </w:p>
    <w:p w14:paraId="39FFB9BB">
      <w:pPr>
        <w:spacing w:line="440" w:lineRule="exact"/>
        <w:jc w:val="center"/>
        <w:rPr>
          <w:rFonts w:hint="eastAsia" w:ascii="仿宋" w:hAnsi="仿宋" w:eastAsia="仿宋" w:cs="仿宋"/>
          <w:sz w:val="27"/>
          <w:szCs w:val="27"/>
        </w:rPr>
      </w:pPr>
    </w:p>
    <w:p w14:paraId="44A7DA69">
      <w:pPr>
        <w:rPr>
          <w:rFonts w:hint="eastAsia" w:ascii="仿宋" w:hAnsi="仿宋" w:eastAsia="仿宋" w:cs="仿宋"/>
        </w:rPr>
      </w:pPr>
      <w:bookmarkStart w:id="604" w:name="_Toc501460792"/>
      <w:bookmarkStart w:id="605" w:name="_Toc485218079"/>
      <w:bookmarkStart w:id="606" w:name="_Toc361508760"/>
    </w:p>
    <w:p w14:paraId="3272F5AD">
      <w:pPr>
        <w:rPr>
          <w:rFonts w:hint="eastAsia" w:ascii="仿宋" w:hAnsi="仿宋" w:eastAsia="仿宋" w:cs="仿宋"/>
        </w:rPr>
      </w:pPr>
      <w:bookmarkStart w:id="607" w:name="_Toc144974838"/>
      <w:bookmarkStart w:id="608" w:name="_Toc152042558"/>
      <w:bookmarkStart w:id="609" w:name="_Toc152045776"/>
      <w:bookmarkStart w:id="610" w:name="_Toc144974837"/>
      <w:bookmarkStart w:id="611" w:name="_Toc152045775"/>
      <w:bookmarkStart w:id="612" w:name="_Toc152042557"/>
      <w:r>
        <w:rPr>
          <w:rFonts w:hint="eastAsia" w:ascii="仿宋" w:hAnsi="仿宋" w:eastAsia="仿宋" w:cs="仿宋"/>
        </w:rPr>
        <w:br w:type="page"/>
      </w:r>
    </w:p>
    <w:p w14:paraId="3D52F1C2">
      <w:pPr>
        <w:pStyle w:val="3"/>
        <w:spacing w:line="360" w:lineRule="auto"/>
        <w:jc w:val="center"/>
        <w:rPr>
          <w:rFonts w:ascii="宋体" w:hAnsi="宋体" w:eastAsia="宋体" w:cs="宋体"/>
          <w:b w:val="0"/>
          <w:bCs/>
        </w:rPr>
      </w:pPr>
      <w:bookmarkStart w:id="613" w:name="_Toc10742"/>
      <w:bookmarkStart w:id="614" w:name="_Toc151393520"/>
      <w:bookmarkStart w:id="615" w:name="_Toc2581"/>
      <w:bookmarkStart w:id="616" w:name="_Toc30059"/>
      <w:bookmarkStart w:id="617" w:name="_Toc7476"/>
      <w:bookmarkStart w:id="618" w:name="_Toc24034"/>
      <w:bookmarkStart w:id="619" w:name="_Toc29870"/>
      <w:bookmarkStart w:id="620" w:name="_Toc8829"/>
      <w:r>
        <w:rPr>
          <w:rFonts w:ascii="Times New Roman" w:hAnsi="Times New Roman" w:eastAsia="仿宋"/>
        </w:rPr>
        <w:t>六、分项报价表</w:t>
      </w:r>
      <w:r>
        <w:rPr>
          <w:rFonts w:hint="eastAsia" w:ascii="Times New Roman" w:hAnsi="Times New Roman" w:eastAsia="楷体"/>
          <w:b w:val="0"/>
          <w:bCs/>
          <w:i/>
          <w:color w:val="0000FF"/>
          <w:sz w:val="24"/>
          <w:szCs w:val="24"/>
        </w:rPr>
        <w:t>（本表仅供参考</w:t>
      </w:r>
      <w:r>
        <w:rPr>
          <w:rFonts w:hint="eastAsia" w:ascii="Times New Roman" w:hAnsi="Times New Roman" w:eastAsia="楷体"/>
          <w:b w:val="0"/>
          <w:bCs/>
          <w:i/>
          <w:color w:val="0000FF"/>
          <w:sz w:val="24"/>
          <w:szCs w:val="24"/>
          <w:lang w:val="en-US" w:eastAsia="zh-CN"/>
        </w:rPr>
        <w:t>,本项目可不提供</w:t>
      </w:r>
      <w:r>
        <w:rPr>
          <w:rFonts w:hint="eastAsia" w:ascii="Times New Roman" w:hAnsi="Times New Roman" w:eastAsia="楷体"/>
          <w:b w:val="0"/>
          <w:bCs/>
          <w:i/>
          <w:color w:val="0000FF"/>
          <w:sz w:val="24"/>
          <w:szCs w:val="24"/>
        </w:rPr>
        <w:t>）</w:t>
      </w:r>
      <w:bookmarkEnd w:id="613"/>
      <w:bookmarkEnd w:id="614"/>
      <w:bookmarkEnd w:id="615"/>
      <w:bookmarkEnd w:id="616"/>
      <w:bookmarkEnd w:id="617"/>
      <w:bookmarkEnd w:id="618"/>
      <w:bookmarkEnd w:id="619"/>
      <w:bookmarkEnd w:id="620"/>
    </w:p>
    <w:p w14:paraId="158A676C">
      <w:pPr>
        <w:spacing w:line="360" w:lineRule="auto"/>
        <w:ind w:firstLine="480" w:firstLineChars="200"/>
        <w:rPr>
          <w:rFonts w:ascii="仿宋" w:hAnsi="仿宋" w:eastAsia="仿宋"/>
          <w:sz w:val="24"/>
          <w:szCs w:val="24"/>
        </w:rPr>
      </w:pPr>
      <w:r>
        <w:rPr>
          <w:rFonts w:hint="eastAsia" w:ascii="仿宋" w:hAnsi="仿宋" w:eastAsia="仿宋"/>
          <w:sz w:val="24"/>
          <w:szCs w:val="24"/>
        </w:rPr>
        <w:t>1. 分项报价表说明</w:t>
      </w:r>
    </w:p>
    <w:p w14:paraId="7B51FBFB">
      <w:pPr>
        <w:spacing w:line="360" w:lineRule="auto"/>
        <w:ind w:firstLine="480" w:firstLineChars="200"/>
        <w:rPr>
          <w:rFonts w:ascii="仿宋" w:hAnsi="仿宋" w:eastAsia="仿宋"/>
          <w:sz w:val="24"/>
          <w:szCs w:val="24"/>
        </w:rPr>
      </w:pPr>
    </w:p>
    <w:p w14:paraId="3901D14D">
      <w:pPr>
        <w:spacing w:line="360" w:lineRule="auto"/>
        <w:ind w:firstLine="480" w:firstLineChars="200"/>
        <w:rPr>
          <w:rFonts w:ascii="仿宋" w:hAnsi="仿宋" w:eastAsia="仿宋"/>
          <w:sz w:val="24"/>
          <w:szCs w:val="24"/>
        </w:rPr>
      </w:pPr>
    </w:p>
    <w:p w14:paraId="5D704144">
      <w:pPr>
        <w:spacing w:line="360" w:lineRule="auto"/>
        <w:ind w:firstLine="480" w:firstLineChars="200"/>
        <w:rPr>
          <w:rFonts w:ascii="仿宋" w:hAnsi="仿宋" w:eastAsia="仿宋"/>
          <w:sz w:val="24"/>
          <w:szCs w:val="24"/>
        </w:rPr>
      </w:pPr>
      <w:r>
        <w:rPr>
          <w:rFonts w:hint="eastAsia" w:ascii="仿宋" w:hAnsi="仿宋" w:eastAsia="仿宋"/>
          <w:sz w:val="24"/>
          <w:szCs w:val="24"/>
        </w:rPr>
        <w:t>2. 分项报价表</w:t>
      </w:r>
    </w:p>
    <w:p w14:paraId="19565168">
      <w:pPr>
        <w:spacing w:line="440" w:lineRule="exact"/>
        <w:ind w:firstLine="480" w:firstLineChars="200"/>
        <w:jc w:val="right"/>
        <w:rPr>
          <w:rFonts w:hint="eastAsia" w:ascii="仿宋" w:hAnsi="仿宋" w:eastAsia="仿宋"/>
          <w:sz w:val="24"/>
          <w:szCs w:val="24"/>
        </w:rPr>
      </w:pPr>
      <w:r>
        <w:rPr>
          <w:rFonts w:hint="eastAsia" w:ascii="仿宋" w:hAnsi="仿宋" w:eastAsia="仿宋"/>
          <w:sz w:val="24"/>
          <w:szCs w:val="24"/>
        </w:rPr>
        <w:t>单位：人民币元</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689"/>
        <w:gridCol w:w="1847"/>
        <w:gridCol w:w="992"/>
      </w:tblGrid>
      <w:tr w14:paraId="2A27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0"/>
            <w:vAlign w:val="center"/>
          </w:tcPr>
          <w:p w14:paraId="3851690D">
            <w:pPr>
              <w:widowControl/>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序号</w:t>
            </w:r>
          </w:p>
        </w:tc>
        <w:tc>
          <w:tcPr>
            <w:tcW w:w="2410" w:type="dxa"/>
            <w:noWrap w:val="0"/>
            <w:vAlign w:val="center"/>
          </w:tcPr>
          <w:p w14:paraId="6FC351CB">
            <w:pPr>
              <w:widowControl/>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费用分项名称</w:t>
            </w:r>
          </w:p>
        </w:tc>
        <w:tc>
          <w:tcPr>
            <w:tcW w:w="2689" w:type="dxa"/>
            <w:noWrap w:val="0"/>
            <w:vAlign w:val="center"/>
          </w:tcPr>
          <w:p w14:paraId="0FEF290A">
            <w:pPr>
              <w:widowControl/>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计算依据、过程和公式</w:t>
            </w:r>
          </w:p>
        </w:tc>
        <w:tc>
          <w:tcPr>
            <w:tcW w:w="1847" w:type="dxa"/>
            <w:noWrap w:val="0"/>
            <w:vAlign w:val="center"/>
          </w:tcPr>
          <w:p w14:paraId="61EB3119">
            <w:pPr>
              <w:widowControl/>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□分项报价</w:t>
            </w:r>
          </w:p>
          <w:p w14:paraId="267D9ADB">
            <w:pPr>
              <w:widowControl/>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□单价</w:t>
            </w:r>
          </w:p>
          <w:p w14:paraId="7D2A0D3E">
            <w:pPr>
              <w:widowControl/>
              <w:spacing w:line="360" w:lineRule="auto"/>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z w:val="24"/>
                <w:szCs w:val="24"/>
                <w:highlight w:val="none"/>
              </w:rPr>
              <w:t>□费率</w:t>
            </w:r>
          </w:p>
        </w:tc>
        <w:tc>
          <w:tcPr>
            <w:tcW w:w="992" w:type="dxa"/>
            <w:noWrap w:val="0"/>
            <w:vAlign w:val="center"/>
          </w:tcPr>
          <w:p w14:paraId="403FF870">
            <w:pPr>
              <w:widowControl/>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备注</w:t>
            </w:r>
          </w:p>
        </w:tc>
      </w:tr>
      <w:tr w14:paraId="2CC1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1B831A9">
            <w:pPr>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410" w:type="dxa"/>
            <w:noWrap w:val="0"/>
            <w:vAlign w:val="center"/>
          </w:tcPr>
          <w:p w14:paraId="20BE253B">
            <w:pPr>
              <w:spacing w:line="360" w:lineRule="auto"/>
              <w:jc w:val="center"/>
              <w:rPr>
                <w:rFonts w:hint="eastAsia" w:ascii="仿宋" w:hAnsi="仿宋" w:eastAsia="仿宋" w:cs="仿宋"/>
                <w:b w:val="0"/>
                <w:bCs/>
                <w:color w:val="auto"/>
                <w:sz w:val="24"/>
                <w:szCs w:val="24"/>
                <w:highlight w:val="none"/>
              </w:rPr>
            </w:pPr>
          </w:p>
        </w:tc>
        <w:tc>
          <w:tcPr>
            <w:tcW w:w="2689" w:type="dxa"/>
            <w:noWrap w:val="0"/>
            <w:vAlign w:val="center"/>
          </w:tcPr>
          <w:p w14:paraId="11A37B32">
            <w:pPr>
              <w:spacing w:line="360" w:lineRule="auto"/>
              <w:jc w:val="center"/>
              <w:rPr>
                <w:rFonts w:hint="eastAsia" w:ascii="仿宋" w:hAnsi="仿宋" w:eastAsia="仿宋" w:cs="仿宋"/>
                <w:b w:val="0"/>
                <w:bCs/>
                <w:color w:val="auto"/>
                <w:sz w:val="24"/>
                <w:szCs w:val="24"/>
                <w:highlight w:val="none"/>
              </w:rPr>
            </w:pPr>
          </w:p>
        </w:tc>
        <w:tc>
          <w:tcPr>
            <w:tcW w:w="1847" w:type="dxa"/>
            <w:noWrap w:val="0"/>
            <w:vAlign w:val="center"/>
          </w:tcPr>
          <w:p w14:paraId="2A6BE76F">
            <w:pPr>
              <w:spacing w:line="360" w:lineRule="auto"/>
              <w:jc w:val="center"/>
              <w:rPr>
                <w:rFonts w:hint="eastAsia" w:ascii="仿宋" w:hAnsi="仿宋" w:eastAsia="仿宋" w:cs="仿宋"/>
                <w:b w:val="0"/>
                <w:bCs/>
                <w:color w:val="auto"/>
                <w:sz w:val="24"/>
                <w:szCs w:val="24"/>
                <w:highlight w:val="none"/>
              </w:rPr>
            </w:pPr>
          </w:p>
        </w:tc>
        <w:tc>
          <w:tcPr>
            <w:tcW w:w="992" w:type="dxa"/>
            <w:noWrap w:val="0"/>
            <w:vAlign w:val="center"/>
          </w:tcPr>
          <w:p w14:paraId="2DC8954C">
            <w:pPr>
              <w:spacing w:line="360" w:lineRule="auto"/>
              <w:jc w:val="center"/>
              <w:rPr>
                <w:rFonts w:hint="eastAsia" w:ascii="仿宋" w:hAnsi="仿宋" w:eastAsia="仿宋" w:cs="仿宋"/>
                <w:b w:val="0"/>
                <w:bCs/>
                <w:color w:val="auto"/>
                <w:sz w:val="24"/>
                <w:szCs w:val="24"/>
                <w:highlight w:val="none"/>
              </w:rPr>
            </w:pPr>
          </w:p>
        </w:tc>
      </w:tr>
      <w:tr w14:paraId="322B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2F415AF">
            <w:pPr>
              <w:spacing w:before="100" w:beforeAutospacing="1" w:after="100" w:afterAutospacing="1"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2410" w:type="dxa"/>
            <w:noWrap w:val="0"/>
            <w:vAlign w:val="center"/>
          </w:tcPr>
          <w:p w14:paraId="2561D825">
            <w:pPr>
              <w:spacing w:line="360" w:lineRule="auto"/>
              <w:jc w:val="center"/>
              <w:rPr>
                <w:rFonts w:hint="eastAsia" w:ascii="仿宋" w:hAnsi="仿宋" w:eastAsia="仿宋" w:cs="仿宋"/>
                <w:b w:val="0"/>
                <w:bCs/>
                <w:color w:val="auto"/>
                <w:sz w:val="24"/>
                <w:szCs w:val="24"/>
                <w:highlight w:val="none"/>
              </w:rPr>
            </w:pPr>
          </w:p>
        </w:tc>
        <w:tc>
          <w:tcPr>
            <w:tcW w:w="2689" w:type="dxa"/>
            <w:noWrap w:val="0"/>
            <w:vAlign w:val="center"/>
          </w:tcPr>
          <w:p w14:paraId="7327C870">
            <w:pPr>
              <w:spacing w:line="360" w:lineRule="auto"/>
              <w:jc w:val="center"/>
              <w:rPr>
                <w:rFonts w:hint="eastAsia" w:ascii="仿宋" w:hAnsi="仿宋" w:eastAsia="仿宋" w:cs="仿宋"/>
                <w:b w:val="0"/>
                <w:bCs/>
                <w:color w:val="auto"/>
                <w:sz w:val="24"/>
                <w:szCs w:val="24"/>
                <w:highlight w:val="none"/>
              </w:rPr>
            </w:pPr>
          </w:p>
        </w:tc>
        <w:tc>
          <w:tcPr>
            <w:tcW w:w="1847" w:type="dxa"/>
            <w:noWrap w:val="0"/>
            <w:vAlign w:val="center"/>
          </w:tcPr>
          <w:p w14:paraId="16051419">
            <w:pPr>
              <w:spacing w:line="360" w:lineRule="auto"/>
              <w:jc w:val="center"/>
              <w:rPr>
                <w:rFonts w:hint="eastAsia" w:ascii="仿宋" w:hAnsi="仿宋" w:eastAsia="仿宋" w:cs="仿宋"/>
                <w:b w:val="0"/>
                <w:bCs/>
                <w:color w:val="auto"/>
                <w:sz w:val="24"/>
                <w:szCs w:val="24"/>
                <w:highlight w:val="none"/>
              </w:rPr>
            </w:pPr>
          </w:p>
        </w:tc>
        <w:tc>
          <w:tcPr>
            <w:tcW w:w="992" w:type="dxa"/>
            <w:noWrap w:val="0"/>
            <w:vAlign w:val="center"/>
          </w:tcPr>
          <w:p w14:paraId="6DAD2318">
            <w:pPr>
              <w:spacing w:line="360" w:lineRule="auto"/>
              <w:jc w:val="center"/>
              <w:rPr>
                <w:rFonts w:hint="eastAsia" w:ascii="仿宋" w:hAnsi="仿宋" w:eastAsia="仿宋" w:cs="仿宋"/>
                <w:b w:val="0"/>
                <w:bCs/>
                <w:color w:val="auto"/>
                <w:sz w:val="24"/>
                <w:szCs w:val="24"/>
                <w:highlight w:val="none"/>
              </w:rPr>
            </w:pPr>
          </w:p>
        </w:tc>
      </w:tr>
      <w:tr w14:paraId="2173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1729E61">
            <w:pPr>
              <w:spacing w:before="100" w:beforeAutospacing="1" w:after="100" w:afterAutospacing="1"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2410" w:type="dxa"/>
            <w:noWrap w:val="0"/>
            <w:vAlign w:val="center"/>
          </w:tcPr>
          <w:p w14:paraId="2DF4FE33">
            <w:pPr>
              <w:spacing w:line="360" w:lineRule="auto"/>
              <w:jc w:val="center"/>
              <w:rPr>
                <w:rFonts w:hint="eastAsia" w:ascii="仿宋" w:hAnsi="仿宋" w:eastAsia="仿宋" w:cs="仿宋"/>
                <w:b w:val="0"/>
                <w:bCs/>
                <w:color w:val="auto"/>
                <w:sz w:val="24"/>
                <w:szCs w:val="24"/>
                <w:highlight w:val="none"/>
              </w:rPr>
            </w:pPr>
          </w:p>
        </w:tc>
        <w:tc>
          <w:tcPr>
            <w:tcW w:w="2689" w:type="dxa"/>
            <w:noWrap w:val="0"/>
            <w:vAlign w:val="center"/>
          </w:tcPr>
          <w:p w14:paraId="1A680ECE">
            <w:pPr>
              <w:spacing w:line="360" w:lineRule="auto"/>
              <w:jc w:val="center"/>
              <w:rPr>
                <w:rFonts w:hint="eastAsia" w:ascii="仿宋" w:hAnsi="仿宋" w:eastAsia="仿宋" w:cs="仿宋"/>
                <w:b w:val="0"/>
                <w:bCs/>
                <w:color w:val="auto"/>
                <w:sz w:val="24"/>
                <w:szCs w:val="24"/>
                <w:highlight w:val="none"/>
              </w:rPr>
            </w:pPr>
          </w:p>
        </w:tc>
        <w:tc>
          <w:tcPr>
            <w:tcW w:w="1847" w:type="dxa"/>
            <w:noWrap w:val="0"/>
            <w:vAlign w:val="center"/>
          </w:tcPr>
          <w:p w14:paraId="57FF5548">
            <w:pPr>
              <w:spacing w:line="360" w:lineRule="auto"/>
              <w:jc w:val="center"/>
              <w:rPr>
                <w:rFonts w:hint="eastAsia" w:ascii="仿宋" w:hAnsi="仿宋" w:eastAsia="仿宋" w:cs="仿宋"/>
                <w:b w:val="0"/>
                <w:bCs/>
                <w:color w:val="auto"/>
                <w:sz w:val="24"/>
                <w:szCs w:val="24"/>
                <w:highlight w:val="none"/>
              </w:rPr>
            </w:pPr>
          </w:p>
        </w:tc>
        <w:tc>
          <w:tcPr>
            <w:tcW w:w="992" w:type="dxa"/>
            <w:noWrap w:val="0"/>
            <w:vAlign w:val="center"/>
          </w:tcPr>
          <w:p w14:paraId="22013C7B">
            <w:pPr>
              <w:spacing w:line="360" w:lineRule="auto"/>
              <w:jc w:val="center"/>
              <w:rPr>
                <w:rFonts w:hint="eastAsia" w:ascii="仿宋" w:hAnsi="仿宋" w:eastAsia="仿宋" w:cs="仿宋"/>
                <w:b w:val="0"/>
                <w:bCs/>
                <w:color w:val="auto"/>
                <w:sz w:val="24"/>
                <w:szCs w:val="24"/>
                <w:highlight w:val="none"/>
              </w:rPr>
            </w:pPr>
          </w:p>
        </w:tc>
      </w:tr>
      <w:tr w14:paraId="6AEB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0134BD7">
            <w:pPr>
              <w:spacing w:before="100" w:beforeAutospacing="1" w:after="100" w:afterAutospacing="1"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2410" w:type="dxa"/>
            <w:noWrap w:val="0"/>
            <w:vAlign w:val="center"/>
          </w:tcPr>
          <w:p w14:paraId="4B9F211F">
            <w:pPr>
              <w:spacing w:line="360" w:lineRule="auto"/>
              <w:jc w:val="center"/>
              <w:rPr>
                <w:rFonts w:hint="eastAsia" w:ascii="仿宋" w:hAnsi="仿宋" w:eastAsia="仿宋" w:cs="仿宋"/>
                <w:b w:val="0"/>
                <w:bCs/>
                <w:color w:val="auto"/>
                <w:sz w:val="24"/>
                <w:szCs w:val="24"/>
                <w:highlight w:val="none"/>
              </w:rPr>
            </w:pPr>
          </w:p>
        </w:tc>
        <w:tc>
          <w:tcPr>
            <w:tcW w:w="2689" w:type="dxa"/>
            <w:noWrap w:val="0"/>
            <w:vAlign w:val="center"/>
          </w:tcPr>
          <w:p w14:paraId="4C6280A9">
            <w:pPr>
              <w:spacing w:line="360" w:lineRule="auto"/>
              <w:jc w:val="center"/>
              <w:rPr>
                <w:rFonts w:hint="eastAsia" w:ascii="仿宋" w:hAnsi="仿宋" w:eastAsia="仿宋" w:cs="仿宋"/>
                <w:b w:val="0"/>
                <w:bCs/>
                <w:color w:val="auto"/>
                <w:sz w:val="24"/>
                <w:szCs w:val="24"/>
                <w:highlight w:val="none"/>
              </w:rPr>
            </w:pPr>
          </w:p>
        </w:tc>
        <w:tc>
          <w:tcPr>
            <w:tcW w:w="1847" w:type="dxa"/>
            <w:noWrap w:val="0"/>
            <w:vAlign w:val="center"/>
          </w:tcPr>
          <w:p w14:paraId="3BC63893">
            <w:pPr>
              <w:spacing w:line="360" w:lineRule="auto"/>
              <w:jc w:val="center"/>
              <w:rPr>
                <w:rFonts w:hint="eastAsia" w:ascii="仿宋" w:hAnsi="仿宋" w:eastAsia="仿宋" w:cs="仿宋"/>
                <w:b w:val="0"/>
                <w:bCs/>
                <w:color w:val="auto"/>
                <w:sz w:val="24"/>
                <w:szCs w:val="24"/>
                <w:highlight w:val="none"/>
              </w:rPr>
            </w:pPr>
          </w:p>
        </w:tc>
        <w:tc>
          <w:tcPr>
            <w:tcW w:w="992" w:type="dxa"/>
            <w:noWrap w:val="0"/>
            <w:vAlign w:val="center"/>
          </w:tcPr>
          <w:p w14:paraId="16F8FA9F">
            <w:pPr>
              <w:spacing w:line="360" w:lineRule="auto"/>
              <w:jc w:val="center"/>
              <w:rPr>
                <w:rFonts w:hint="eastAsia" w:ascii="仿宋" w:hAnsi="仿宋" w:eastAsia="仿宋" w:cs="仿宋"/>
                <w:b w:val="0"/>
                <w:bCs/>
                <w:color w:val="auto"/>
                <w:sz w:val="24"/>
                <w:szCs w:val="24"/>
                <w:highlight w:val="none"/>
              </w:rPr>
            </w:pPr>
          </w:p>
        </w:tc>
      </w:tr>
      <w:tr w14:paraId="6596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CBD44D3">
            <w:pPr>
              <w:spacing w:before="100" w:beforeAutospacing="1" w:after="100" w:afterAutospacing="1"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2410" w:type="dxa"/>
            <w:noWrap w:val="0"/>
            <w:vAlign w:val="center"/>
          </w:tcPr>
          <w:p w14:paraId="2AD32B60">
            <w:pPr>
              <w:spacing w:line="360" w:lineRule="auto"/>
              <w:jc w:val="center"/>
              <w:rPr>
                <w:rFonts w:hint="eastAsia" w:ascii="仿宋" w:hAnsi="仿宋" w:eastAsia="仿宋" w:cs="仿宋"/>
                <w:b w:val="0"/>
                <w:bCs/>
                <w:color w:val="auto"/>
                <w:sz w:val="24"/>
                <w:szCs w:val="24"/>
                <w:highlight w:val="none"/>
              </w:rPr>
            </w:pPr>
          </w:p>
        </w:tc>
        <w:tc>
          <w:tcPr>
            <w:tcW w:w="2689" w:type="dxa"/>
            <w:noWrap w:val="0"/>
            <w:vAlign w:val="center"/>
          </w:tcPr>
          <w:p w14:paraId="5E51E803">
            <w:pPr>
              <w:spacing w:line="360" w:lineRule="auto"/>
              <w:jc w:val="center"/>
              <w:rPr>
                <w:rFonts w:hint="eastAsia" w:ascii="仿宋" w:hAnsi="仿宋" w:eastAsia="仿宋" w:cs="仿宋"/>
                <w:b w:val="0"/>
                <w:bCs/>
                <w:color w:val="auto"/>
                <w:sz w:val="24"/>
                <w:szCs w:val="24"/>
                <w:highlight w:val="none"/>
              </w:rPr>
            </w:pPr>
          </w:p>
        </w:tc>
        <w:tc>
          <w:tcPr>
            <w:tcW w:w="1847" w:type="dxa"/>
            <w:noWrap w:val="0"/>
            <w:vAlign w:val="center"/>
          </w:tcPr>
          <w:p w14:paraId="37AF8564">
            <w:pPr>
              <w:spacing w:line="360" w:lineRule="auto"/>
              <w:jc w:val="center"/>
              <w:rPr>
                <w:rFonts w:hint="eastAsia" w:ascii="仿宋" w:hAnsi="仿宋" w:eastAsia="仿宋" w:cs="仿宋"/>
                <w:b w:val="0"/>
                <w:bCs/>
                <w:color w:val="auto"/>
                <w:sz w:val="24"/>
                <w:szCs w:val="24"/>
                <w:highlight w:val="none"/>
              </w:rPr>
            </w:pPr>
          </w:p>
        </w:tc>
        <w:tc>
          <w:tcPr>
            <w:tcW w:w="992" w:type="dxa"/>
            <w:noWrap w:val="0"/>
            <w:vAlign w:val="center"/>
          </w:tcPr>
          <w:p w14:paraId="4DEA30B3">
            <w:pPr>
              <w:spacing w:line="360" w:lineRule="auto"/>
              <w:jc w:val="center"/>
              <w:rPr>
                <w:rFonts w:hint="eastAsia" w:ascii="仿宋" w:hAnsi="仿宋" w:eastAsia="仿宋" w:cs="仿宋"/>
                <w:b w:val="0"/>
                <w:bCs/>
                <w:color w:val="auto"/>
                <w:sz w:val="24"/>
                <w:szCs w:val="24"/>
                <w:highlight w:val="none"/>
              </w:rPr>
            </w:pPr>
          </w:p>
        </w:tc>
      </w:tr>
      <w:tr w14:paraId="34AE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41DCCF0">
            <w:pPr>
              <w:widowControl/>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w:t>
            </w:r>
          </w:p>
        </w:tc>
        <w:tc>
          <w:tcPr>
            <w:tcW w:w="2410" w:type="dxa"/>
            <w:noWrap w:val="0"/>
            <w:vAlign w:val="center"/>
          </w:tcPr>
          <w:p w14:paraId="15C03F11">
            <w:pPr>
              <w:widowControl/>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w:t>
            </w:r>
          </w:p>
        </w:tc>
        <w:tc>
          <w:tcPr>
            <w:tcW w:w="2689" w:type="dxa"/>
            <w:noWrap w:val="0"/>
            <w:vAlign w:val="center"/>
          </w:tcPr>
          <w:p w14:paraId="449F125B">
            <w:pPr>
              <w:spacing w:line="360" w:lineRule="auto"/>
              <w:jc w:val="center"/>
              <w:rPr>
                <w:rFonts w:hint="eastAsia" w:ascii="仿宋" w:hAnsi="仿宋" w:eastAsia="仿宋" w:cs="仿宋"/>
                <w:b w:val="0"/>
                <w:bCs/>
                <w:color w:val="auto"/>
                <w:sz w:val="24"/>
                <w:szCs w:val="24"/>
                <w:highlight w:val="none"/>
              </w:rPr>
            </w:pPr>
          </w:p>
        </w:tc>
        <w:tc>
          <w:tcPr>
            <w:tcW w:w="1847" w:type="dxa"/>
            <w:noWrap w:val="0"/>
            <w:vAlign w:val="center"/>
          </w:tcPr>
          <w:p w14:paraId="6C4F7354">
            <w:pPr>
              <w:spacing w:line="360" w:lineRule="auto"/>
              <w:jc w:val="center"/>
              <w:rPr>
                <w:rFonts w:hint="eastAsia" w:ascii="仿宋" w:hAnsi="仿宋" w:eastAsia="仿宋" w:cs="仿宋"/>
                <w:b w:val="0"/>
                <w:bCs/>
                <w:color w:val="auto"/>
                <w:sz w:val="24"/>
                <w:szCs w:val="24"/>
                <w:highlight w:val="none"/>
              </w:rPr>
            </w:pPr>
          </w:p>
        </w:tc>
        <w:tc>
          <w:tcPr>
            <w:tcW w:w="992" w:type="dxa"/>
            <w:noWrap w:val="0"/>
            <w:vAlign w:val="center"/>
          </w:tcPr>
          <w:p w14:paraId="3C82B1B2">
            <w:pPr>
              <w:spacing w:line="360" w:lineRule="auto"/>
              <w:jc w:val="center"/>
              <w:rPr>
                <w:rFonts w:hint="eastAsia" w:ascii="仿宋" w:hAnsi="仿宋" w:eastAsia="仿宋" w:cs="仿宋"/>
                <w:b w:val="0"/>
                <w:bCs/>
                <w:color w:val="auto"/>
                <w:sz w:val="24"/>
                <w:szCs w:val="24"/>
                <w:highlight w:val="none"/>
              </w:rPr>
            </w:pPr>
          </w:p>
        </w:tc>
      </w:tr>
      <w:tr w14:paraId="7BB9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6" w:type="dxa"/>
            <w:gridSpan w:val="3"/>
            <w:noWrap w:val="0"/>
            <w:vAlign w:val="center"/>
          </w:tcPr>
          <w:p w14:paraId="3E07A462">
            <w:pPr>
              <w:widowControl/>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□总报价：大写</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；小写</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w:t>
            </w:r>
          </w:p>
          <w:p w14:paraId="50EB900F">
            <w:pPr>
              <w:widowControl/>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□单价：大写</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；小写</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w:t>
            </w:r>
          </w:p>
          <w:p w14:paraId="58DC346E">
            <w:pPr>
              <w:widowControl/>
              <w:spacing w:line="360" w:lineRule="auto"/>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z w:val="24"/>
                <w:szCs w:val="24"/>
                <w:highlight w:val="none"/>
              </w:rPr>
              <w:t>□费率：大写</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；小写</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w:t>
            </w:r>
          </w:p>
        </w:tc>
        <w:tc>
          <w:tcPr>
            <w:tcW w:w="1847" w:type="dxa"/>
            <w:noWrap w:val="0"/>
            <w:vAlign w:val="center"/>
          </w:tcPr>
          <w:p w14:paraId="331CD018">
            <w:pPr>
              <w:spacing w:line="360" w:lineRule="auto"/>
              <w:jc w:val="center"/>
              <w:rPr>
                <w:rFonts w:hint="eastAsia" w:ascii="仿宋" w:hAnsi="仿宋" w:eastAsia="仿宋" w:cs="仿宋"/>
                <w:b w:val="0"/>
                <w:bCs/>
                <w:color w:val="auto"/>
                <w:sz w:val="24"/>
                <w:szCs w:val="24"/>
                <w:highlight w:val="none"/>
              </w:rPr>
            </w:pPr>
          </w:p>
        </w:tc>
        <w:tc>
          <w:tcPr>
            <w:tcW w:w="992" w:type="dxa"/>
            <w:noWrap w:val="0"/>
            <w:vAlign w:val="center"/>
          </w:tcPr>
          <w:p w14:paraId="5DE4D844">
            <w:pPr>
              <w:spacing w:line="360" w:lineRule="auto"/>
              <w:jc w:val="center"/>
              <w:rPr>
                <w:rFonts w:hint="eastAsia" w:ascii="仿宋" w:hAnsi="仿宋" w:eastAsia="仿宋" w:cs="仿宋"/>
                <w:b w:val="0"/>
                <w:bCs/>
                <w:color w:val="auto"/>
                <w:sz w:val="24"/>
                <w:szCs w:val="24"/>
                <w:highlight w:val="none"/>
              </w:rPr>
            </w:pPr>
          </w:p>
        </w:tc>
      </w:tr>
    </w:tbl>
    <w:p w14:paraId="12DC921E">
      <w:pPr>
        <w:spacing w:line="440" w:lineRule="exact"/>
        <w:ind w:firstLine="480" w:firstLineChars="200"/>
        <w:jc w:val="right"/>
        <w:rPr>
          <w:rFonts w:hint="eastAsia" w:ascii="仿宋" w:hAnsi="仿宋" w:eastAsia="仿宋"/>
          <w:sz w:val="24"/>
          <w:szCs w:val="24"/>
        </w:rPr>
      </w:pPr>
    </w:p>
    <w:p w14:paraId="3E5FBA72">
      <w:pPr>
        <w:snapToGrid w:val="0"/>
        <w:spacing w:line="360" w:lineRule="auto"/>
        <w:ind w:firstLine="480" w:firstLineChars="200"/>
        <w:jc w:val="left"/>
        <w:rPr>
          <w:rFonts w:ascii="仿宋" w:hAnsi="仿宋" w:eastAsia="仿宋"/>
          <w:sz w:val="24"/>
          <w:szCs w:val="24"/>
        </w:rPr>
      </w:pPr>
      <w:r>
        <w:rPr>
          <w:rFonts w:ascii="Times New Roman" w:hAnsi="Times New Roman" w:eastAsia="仿宋"/>
          <w:sz w:val="24"/>
          <w:szCs w:val="24"/>
        </w:rPr>
        <w:t>注</w:t>
      </w:r>
      <w:r>
        <w:rPr>
          <w:rFonts w:hint="eastAsia" w:ascii="仿宋" w:hAnsi="仿宋" w:eastAsia="仿宋"/>
          <w:sz w:val="24"/>
          <w:szCs w:val="24"/>
        </w:rPr>
        <w:t>：</w:t>
      </w:r>
      <w:r>
        <w:rPr>
          <w:rFonts w:hint="eastAsia" w:ascii="仿宋" w:hAnsi="仿宋" w:eastAsia="仿宋"/>
          <w:sz w:val="24"/>
          <w:szCs w:val="24"/>
          <w:lang w:val="en-US" w:eastAsia="zh-CN"/>
        </w:rPr>
        <w:t>以上</w:t>
      </w:r>
      <w:r>
        <w:rPr>
          <w:rFonts w:hint="eastAsia" w:ascii="仿宋" w:hAnsi="仿宋" w:eastAsia="仿宋"/>
          <w:sz w:val="24"/>
          <w:szCs w:val="24"/>
        </w:rPr>
        <w:t>报价均为含税价。</w:t>
      </w:r>
    </w:p>
    <w:p w14:paraId="1678CBDF">
      <w:pPr>
        <w:spacing w:line="360" w:lineRule="auto"/>
        <w:ind w:firstLine="420" w:firstLineChars="200"/>
      </w:pPr>
    </w:p>
    <w:p w14:paraId="030B7C7D">
      <w:pPr>
        <w:spacing w:line="400" w:lineRule="exact"/>
        <w:ind w:firstLine="420" w:firstLineChars="200"/>
        <w:rPr>
          <w:rFonts w:ascii="Times New Roman" w:hAnsi="Times New Roman"/>
        </w:rPr>
      </w:pPr>
    </w:p>
    <w:p w14:paraId="5FE76B37">
      <w:pPr>
        <w:spacing w:line="360" w:lineRule="auto"/>
        <w:ind w:firstLine="480" w:firstLineChars="200"/>
        <w:jc w:val="right"/>
        <w:rPr>
          <w:rFonts w:hint="eastAsia"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供应商</w:t>
      </w:r>
      <w:r>
        <w:rPr>
          <w:rFonts w:hint="eastAsia" w:ascii="Times New Roman" w:hAnsi="Times New Roman" w:eastAsia="仿宋" w:cs="Times New Roman"/>
          <w:sz w:val="24"/>
          <w:szCs w:val="24"/>
        </w:rPr>
        <w:t>：</w:t>
      </w:r>
      <w:r>
        <w:rPr>
          <w:rFonts w:hint="eastAsia"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rPr>
        <w:t>（盖单位章）</w:t>
      </w:r>
    </w:p>
    <w:p w14:paraId="667EA4FD">
      <w:pPr>
        <w:widowControl/>
        <w:ind w:right="105" w:firstLine="4800" w:firstLineChars="2000"/>
        <w:jc w:val="left"/>
        <w:rPr>
          <w:rFonts w:ascii="Times New Roman" w:hAnsi="Times New Roman"/>
          <w:kern w:val="0"/>
        </w:rPr>
      </w:pPr>
      <w:r>
        <w:rPr>
          <w:rFonts w:hint="eastAsia" w:ascii="Times New Roman" w:hAnsi="Times New Roman" w:eastAsia="仿宋" w:cs="Times New Roman"/>
          <w:sz w:val="24"/>
          <w:szCs w:val="24"/>
        </w:rPr>
        <w:t>日</w:t>
      </w:r>
      <w:r>
        <w:rPr>
          <w:rFonts w:hint="eastAsia" w:ascii="Times New Roman" w:hAnsi="Times New Roman" w:eastAsia="仿宋" w:cs="Times New Roman"/>
          <w:sz w:val="24"/>
          <w:szCs w:val="24"/>
          <w:lang w:val="en-US" w:eastAsia="zh-CN"/>
        </w:rPr>
        <w:t xml:space="preserve">  </w:t>
      </w:r>
      <w:r>
        <w:rPr>
          <w:rFonts w:hint="eastAsia" w:ascii="Times New Roman" w:hAnsi="Times New Roman" w:eastAsia="仿宋" w:cs="Times New Roman"/>
          <w:sz w:val="24"/>
          <w:szCs w:val="24"/>
        </w:rPr>
        <w:t xml:space="preserve">期： </w:t>
      </w:r>
      <w:r>
        <w:rPr>
          <w:rFonts w:hint="eastAsia"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rPr>
        <w:t>年</w:t>
      </w:r>
      <w:r>
        <w:rPr>
          <w:rFonts w:hint="eastAsia"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rPr>
        <w:t>月</w:t>
      </w:r>
      <w:r>
        <w:rPr>
          <w:rFonts w:hint="eastAsia"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rPr>
        <w:t>日</w:t>
      </w:r>
    </w:p>
    <w:p w14:paraId="37A24629">
      <w:pPr>
        <w:pStyle w:val="47"/>
        <w:jc w:val="center"/>
        <w:outlineLvl w:val="9"/>
        <w:rPr>
          <w:rFonts w:hint="eastAsia" w:ascii="仿宋" w:hAnsi="仿宋" w:eastAsia="仿宋" w:cs="仿宋"/>
        </w:rPr>
      </w:pPr>
      <w:r>
        <w:rPr>
          <w:rFonts w:hint="eastAsia" w:ascii="仿宋" w:hAnsi="仿宋" w:eastAsia="仿宋" w:cs="仿宋"/>
        </w:rPr>
        <w:br w:type="page"/>
      </w:r>
    </w:p>
    <w:p w14:paraId="1AFA354A">
      <w:pPr>
        <w:pStyle w:val="47"/>
        <w:jc w:val="center"/>
        <w:outlineLvl w:val="9"/>
        <w:rPr>
          <w:rFonts w:hint="eastAsia" w:ascii="仿宋" w:hAnsi="仿宋" w:eastAsia="仿宋" w:cs="仿宋"/>
        </w:rPr>
        <w:sectPr>
          <w:footerReference r:id="rId4" w:type="default"/>
          <w:type w:val="continuous"/>
          <w:pgSz w:w="12240" w:h="15840"/>
          <w:pgMar w:top="1440" w:right="1800" w:bottom="1440" w:left="1800" w:header="720" w:footer="720" w:gutter="0"/>
          <w:cols w:space="720" w:num="1"/>
          <w:docGrid w:linePitch="285" w:charSpace="0"/>
        </w:sectPr>
      </w:pPr>
      <w:bookmarkStart w:id="621" w:name="_Toc179632793"/>
    </w:p>
    <w:bookmarkEnd w:id="604"/>
    <w:bookmarkEnd w:id="605"/>
    <w:bookmarkEnd w:id="606"/>
    <w:bookmarkEnd w:id="607"/>
    <w:bookmarkEnd w:id="608"/>
    <w:bookmarkEnd w:id="609"/>
    <w:bookmarkEnd w:id="610"/>
    <w:bookmarkEnd w:id="611"/>
    <w:bookmarkEnd w:id="612"/>
    <w:bookmarkEnd w:id="621"/>
    <w:p w14:paraId="4F061C9A">
      <w:pPr>
        <w:pStyle w:val="3"/>
        <w:spacing w:after="0"/>
        <w:jc w:val="center"/>
        <w:rPr>
          <w:rFonts w:hint="eastAsia" w:ascii="仿宋" w:hAnsi="仿宋" w:eastAsia="仿宋" w:cs="仿宋"/>
          <w:color w:val="000000"/>
        </w:rPr>
      </w:pPr>
      <w:bookmarkStart w:id="622" w:name="_Toc13494"/>
      <w:bookmarkStart w:id="623" w:name="_Toc32743"/>
      <w:bookmarkStart w:id="624" w:name="_Toc352703741"/>
      <w:bookmarkStart w:id="625" w:name="_Toc300835229"/>
      <w:r>
        <w:rPr>
          <w:rFonts w:hint="eastAsia" w:ascii="仿宋" w:hAnsi="仿宋" w:eastAsia="仿宋" w:cs="仿宋"/>
          <w:color w:val="000000"/>
        </w:rPr>
        <w:t>七、资格审查资料</w:t>
      </w:r>
      <w:bookmarkEnd w:id="622"/>
      <w:bookmarkEnd w:id="623"/>
    </w:p>
    <w:p w14:paraId="72C4A433">
      <w:pPr>
        <w:pStyle w:val="4"/>
        <w:spacing w:before="20" w:after="0"/>
        <w:ind w:firstLine="137"/>
        <w:jc w:val="center"/>
        <w:rPr>
          <w:rFonts w:hint="eastAsia" w:ascii="仿宋" w:hAnsi="仿宋" w:eastAsia="仿宋" w:cs="仿宋"/>
          <w:b w:val="0"/>
          <w:bCs w:val="0"/>
          <w:color w:val="000000"/>
        </w:rPr>
      </w:pPr>
      <w:bookmarkStart w:id="626" w:name="_Toc2922"/>
      <w:bookmarkStart w:id="627" w:name="_Toc437"/>
      <w:bookmarkStart w:id="628" w:name="_Toc691"/>
      <w:r>
        <w:rPr>
          <w:rFonts w:hint="eastAsia" w:ascii="仿宋" w:hAnsi="仿宋" w:eastAsia="仿宋" w:cs="仿宋"/>
          <w:b w:val="0"/>
          <w:bCs w:val="0"/>
          <w:color w:val="000000"/>
        </w:rPr>
        <w:t>（一）基本情况表</w:t>
      </w:r>
      <w:bookmarkEnd w:id="626"/>
      <w:bookmarkEnd w:id="627"/>
      <w:bookmarkEnd w:id="628"/>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14:paraId="1BA1B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5347F6E8">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454E3DC4">
            <w:pPr>
              <w:topLinePunct/>
              <w:spacing w:line="440" w:lineRule="exact"/>
              <w:jc w:val="center"/>
              <w:rPr>
                <w:rFonts w:hint="eastAsia" w:ascii="仿宋" w:hAnsi="仿宋" w:eastAsia="仿宋" w:cs="仿宋"/>
                <w:color w:val="000000"/>
                <w:sz w:val="24"/>
                <w:szCs w:val="24"/>
              </w:rPr>
            </w:pPr>
          </w:p>
        </w:tc>
      </w:tr>
      <w:tr w14:paraId="5DB48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64D8B066">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注册</w:t>
            </w:r>
            <w:r>
              <w:rPr>
                <w:rFonts w:hint="eastAsia" w:ascii="仿宋" w:hAnsi="仿宋" w:eastAsia="仿宋" w:cs="仿宋"/>
                <w:sz w:val="24"/>
                <w:szCs w:val="24"/>
              </w:rPr>
              <w:t>资金</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0D04CD4E">
            <w:pPr>
              <w:topLinePunct/>
              <w:spacing w:line="440" w:lineRule="exact"/>
              <w:jc w:val="center"/>
              <w:rPr>
                <w:rFonts w:hint="eastAsia" w:ascii="仿宋" w:hAnsi="仿宋" w:eastAsia="仿宋" w:cs="仿宋"/>
                <w:color w:val="00000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B00B605">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sz w:val="24"/>
                <w:szCs w:val="24"/>
              </w:rPr>
              <w:t>成立时间</w:t>
            </w:r>
          </w:p>
        </w:tc>
        <w:tc>
          <w:tcPr>
            <w:tcW w:w="2268" w:type="dxa"/>
            <w:tcBorders>
              <w:top w:val="single" w:color="auto" w:sz="4" w:space="0"/>
              <w:left w:val="single" w:color="auto" w:sz="4" w:space="0"/>
              <w:bottom w:val="single" w:color="auto" w:sz="4" w:space="0"/>
              <w:right w:val="single" w:color="auto" w:sz="4" w:space="0"/>
            </w:tcBorders>
            <w:vAlign w:val="center"/>
          </w:tcPr>
          <w:p w14:paraId="13FACCE7">
            <w:pPr>
              <w:topLinePunct/>
              <w:spacing w:line="440" w:lineRule="exact"/>
              <w:jc w:val="center"/>
              <w:rPr>
                <w:rFonts w:hint="eastAsia" w:ascii="仿宋" w:hAnsi="仿宋" w:eastAsia="仿宋" w:cs="仿宋"/>
                <w:color w:val="000000"/>
                <w:sz w:val="24"/>
                <w:szCs w:val="24"/>
              </w:rPr>
            </w:pPr>
          </w:p>
        </w:tc>
      </w:tr>
      <w:tr w14:paraId="5F0E0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352C6E1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693D6CEC">
            <w:pPr>
              <w:topLinePunct/>
              <w:spacing w:line="440" w:lineRule="exact"/>
              <w:jc w:val="center"/>
              <w:rPr>
                <w:rFonts w:hint="eastAsia" w:ascii="仿宋" w:hAnsi="仿宋" w:eastAsia="仿宋" w:cs="仿宋"/>
                <w:sz w:val="24"/>
                <w:szCs w:val="24"/>
              </w:rPr>
            </w:pPr>
          </w:p>
        </w:tc>
      </w:tr>
      <w:tr w14:paraId="49237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202C1F8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7D86C6EC">
            <w:pPr>
              <w:topLinePunct/>
              <w:spacing w:line="440" w:lineRule="exact"/>
              <w:jc w:val="center"/>
              <w:rPr>
                <w:rFonts w:hint="eastAsia" w:ascii="仿宋" w:hAnsi="仿宋" w:eastAsia="仿宋" w:cs="仿宋"/>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8C28EC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员工总数</w:t>
            </w:r>
          </w:p>
        </w:tc>
        <w:tc>
          <w:tcPr>
            <w:tcW w:w="2268" w:type="dxa"/>
            <w:tcBorders>
              <w:top w:val="single" w:color="auto" w:sz="4" w:space="0"/>
              <w:left w:val="single" w:color="auto" w:sz="4" w:space="0"/>
              <w:bottom w:val="single" w:color="auto" w:sz="4" w:space="0"/>
              <w:right w:val="single" w:color="auto" w:sz="4" w:space="0"/>
            </w:tcBorders>
            <w:vAlign w:val="center"/>
          </w:tcPr>
          <w:p w14:paraId="032A5D1D">
            <w:pPr>
              <w:topLinePunct/>
              <w:spacing w:line="440" w:lineRule="exact"/>
              <w:jc w:val="center"/>
              <w:rPr>
                <w:rFonts w:hint="eastAsia" w:ascii="仿宋" w:hAnsi="仿宋" w:eastAsia="仿宋" w:cs="仿宋"/>
                <w:sz w:val="24"/>
                <w:szCs w:val="24"/>
              </w:rPr>
            </w:pPr>
          </w:p>
        </w:tc>
      </w:tr>
      <w:tr w14:paraId="08BE3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vAlign w:val="center"/>
          </w:tcPr>
          <w:p w14:paraId="73054C2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945" w:type="dxa"/>
            <w:tcBorders>
              <w:top w:val="single" w:color="auto" w:sz="4" w:space="0"/>
              <w:left w:val="single" w:color="auto" w:sz="4" w:space="0"/>
              <w:bottom w:val="single" w:color="auto" w:sz="4" w:space="0"/>
              <w:right w:val="single" w:color="auto" w:sz="4" w:space="0"/>
            </w:tcBorders>
            <w:vAlign w:val="center"/>
          </w:tcPr>
          <w:p w14:paraId="2D2C92E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09" w:type="dxa"/>
            <w:tcBorders>
              <w:top w:val="single" w:color="auto" w:sz="4" w:space="0"/>
              <w:left w:val="single" w:color="auto" w:sz="4" w:space="0"/>
              <w:bottom w:val="single" w:color="auto" w:sz="4" w:space="0"/>
              <w:right w:val="single" w:color="auto" w:sz="4" w:space="0"/>
            </w:tcBorders>
            <w:vAlign w:val="center"/>
          </w:tcPr>
          <w:p w14:paraId="02D62DAF">
            <w:pPr>
              <w:topLinePunct/>
              <w:spacing w:line="440" w:lineRule="exact"/>
              <w:jc w:val="center"/>
              <w:rPr>
                <w:rFonts w:hint="eastAsia" w:ascii="仿宋" w:hAnsi="仿宋" w:eastAsia="仿宋" w:cs="仿宋"/>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6AC0C0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458D6209">
            <w:pPr>
              <w:topLinePunct/>
              <w:spacing w:line="440" w:lineRule="exact"/>
              <w:jc w:val="center"/>
              <w:rPr>
                <w:rFonts w:hint="eastAsia" w:ascii="仿宋" w:hAnsi="仿宋" w:eastAsia="仿宋" w:cs="仿宋"/>
                <w:sz w:val="24"/>
                <w:szCs w:val="24"/>
              </w:rPr>
            </w:pPr>
          </w:p>
        </w:tc>
      </w:tr>
      <w:tr w14:paraId="5BEA4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vAlign w:val="center"/>
          </w:tcPr>
          <w:p w14:paraId="2915A905">
            <w:pPr>
              <w:rPr>
                <w:rFonts w:hint="eastAsia" w:ascii="仿宋" w:hAnsi="仿宋" w:eastAsia="仿宋" w:cs="仿宋"/>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4C19A05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09" w:type="dxa"/>
            <w:tcBorders>
              <w:top w:val="single" w:color="auto" w:sz="4" w:space="0"/>
              <w:left w:val="single" w:color="auto" w:sz="4" w:space="0"/>
              <w:bottom w:val="single" w:color="auto" w:sz="4" w:space="0"/>
              <w:right w:val="single" w:color="auto" w:sz="4" w:space="0"/>
            </w:tcBorders>
            <w:vAlign w:val="center"/>
          </w:tcPr>
          <w:p w14:paraId="5F5C2569">
            <w:pPr>
              <w:topLinePunct/>
              <w:spacing w:line="440" w:lineRule="exact"/>
              <w:jc w:val="center"/>
              <w:rPr>
                <w:rFonts w:hint="eastAsia" w:ascii="仿宋" w:hAnsi="仿宋" w:eastAsia="仿宋" w:cs="仿宋"/>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06FB68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传真</w:t>
            </w:r>
          </w:p>
        </w:tc>
        <w:tc>
          <w:tcPr>
            <w:tcW w:w="2268" w:type="dxa"/>
            <w:tcBorders>
              <w:top w:val="single" w:color="auto" w:sz="4" w:space="0"/>
              <w:left w:val="single" w:color="auto" w:sz="4" w:space="0"/>
              <w:bottom w:val="single" w:color="auto" w:sz="4" w:space="0"/>
              <w:right w:val="single" w:color="auto" w:sz="4" w:space="0"/>
            </w:tcBorders>
            <w:vAlign w:val="center"/>
          </w:tcPr>
          <w:p w14:paraId="0032DB59">
            <w:pPr>
              <w:topLinePunct/>
              <w:spacing w:line="440" w:lineRule="exact"/>
              <w:jc w:val="center"/>
              <w:rPr>
                <w:rFonts w:hint="eastAsia" w:ascii="仿宋" w:hAnsi="仿宋" w:eastAsia="仿宋" w:cs="仿宋"/>
                <w:sz w:val="24"/>
                <w:szCs w:val="24"/>
              </w:rPr>
            </w:pPr>
          </w:p>
        </w:tc>
      </w:tr>
      <w:tr w14:paraId="2B844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5A58A0B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08771958">
            <w:pPr>
              <w:topLinePunct/>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（单位负责人）</w:t>
            </w:r>
          </w:p>
        </w:tc>
        <w:tc>
          <w:tcPr>
            <w:tcW w:w="945" w:type="dxa"/>
            <w:tcBorders>
              <w:top w:val="single" w:color="auto" w:sz="4" w:space="0"/>
              <w:left w:val="single" w:color="auto" w:sz="4" w:space="0"/>
              <w:bottom w:val="single" w:color="auto" w:sz="4" w:space="0"/>
              <w:right w:val="single" w:color="auto" w:sz="4" w:space="0"/>
            </w:tcBorders>
            <w:vAlign w:val="center"/>
          </w:tcPr>
          <w:p w14:paraId="7B66E29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2409" w:type="dxa"/>
            <w:tcBorders>
              <w:top w:val="single" w:color="auto" w:sz="4" w:space="0"/>
              <w:left w:val="single" w:color="auto" w:sz="4" w:space="0"/>
              <w:bottom w:val="single" w:color="auto" w:sz="4" w:space="0"/>
              <w:right w:val="single" w:color="auto" w:sz="4" w:space="0"/>
            </w:tcBorders>
            <w:vAlign w:val="center"/>
          </w:tcPr>
          <w:p w14:paraId="4C5245F9">
            <w:pPr>
              <w:topLinePunct/>
              <w:spacing w:line="440" w:lineRule="exact"/>
              <w:jc w:val="center"/>
              <w:rPr>
                <w:rFonts w:hint="eastAsia" w:ascii="仿宋" w:hAnsi="仿宋" w:eastAsia="仿宋" w:cs="仿宋"/>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2DF7D1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4D7E3AB1">
            <w:pPr>
              <w:topLinePunct/>
              <w:spacing w:line="440" w:lineRule="exact"/>
              <w:jc w:val="center"/>
              <w:rPr>
                <w:rFonts w:hint="eastAsia" w:ascii="仿宋" w:hAnsi="仿宋" w:eastAsia="仿宋" w:cs="仿宋"/>
                <w:sz w:val="24"/>
                <w:szCs w:val="24"/>
              </w:rPr>
            </w:pPr>
          </w:p>
        </w:tc>
      </w:tr>
      <w:tr w14:paraId="0CC05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6D8FB45A">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须知要求</w:t>
            </w:r>
            <w:r>
              <w:rPr>
                <w:rFonts w:hint="eastAsia" w:ascii="仿宋" w:hAnsi="仿宋" w:eastAsia="仿宋" w:cs="仿宋"/>
                <w:sz w:val="24"/>
                <w:szCs w:val="24"/>
                <w:lang w:eastAsia="zh-CN"/>
              </w:rPr>
              <w:t>供应商</w:t>
            </w:r>
            <w:r>
              <w:rPr>
                <w:rFonts w:hint="eastAsia" w:ascii="仿宋" w:hAnsi="仿宋" w:eastAsia="仿宋" w:cs="仿宋"/>
                <w:sz w:val="24"/>
                <w:szCs w:val="24"/>
              </w:rPr>
              <w:t>需具有的各类资质证书</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4446EBF4">
            <w:pPr>
              <w:topLinePunct/>
              <w:spacing w:line="440" w:lineRule="exact"/>
              <w:ind w:firstLine="120" w:firstLineChars="50"/>
              <w:rPr>
                <w:rFonts w:hint="eastAsia" w:ascii="仿宋" w:hAnsi="仿宋" w:eastAsia="仿宋" w:cs="仿宋"/>
                <w:color w:val="000000"/>
                <w:sz w:val="24"/>
                <w:szCs w:val="24"/>
              </w:rPr>
            </w:pPr>
            <w:r>
              <w:rPr>
                <w:rFonts w:hint="eastAsia" w:ascii="仿宋" w:hAnsi="仿宋" w:eastAsia="仿宋" w:cs="仿宋"/>
                <w:sz w:val="24"/>
                <w:szCs w:val="24"/>
              </w:rPr>
              <w:t>类型：等级：证书号：</w:t>
            </w:r>
          </w:p>
        </w:tc>
      </w:tr>
      <w:tr w14:paraId="01860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6447A012">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sz w:val="24"/>
                <w:szCs w:val="24"/>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112E1B14">
            <w:pPr>
              <w:topLinePunct/>
              <w:spacing w:line="440" w:lineRule="exact"/>
              <w:ind w:firstLine="120" w:firstLineChars="50"/>
              <w:rPr>
                <w:rFonts w:hint="eastAsia" w:ascii="仿宋" w:hAnsi="仿宋" w:eastAsia="仿宋" w:cs="仿宋"/>
                <w:color w:val="000000"/>
                <w:sz w:val="24"/>
                <w:szCs w:val="24"/>
              </w:rPr>
            </w:pPr>
          </w:p>
        </w:tc>
      </w:tr>
      <w:tr w14:paraId="00F1B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10348EE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基本账户银行账号</w:t>
            </w:r>
          </w:p>
        </w:tc>
        <w:tc>
          <w:tcPr>
            <w:tcW w:w="6757" w:type="dxa"/>
            <w:gridSpan w:val="4"/>
            <w:tcBorders>
              <w:top w:val="single" w:color="auto" w:sz="4" w:space="0"/>
              <w:left w:val="single" w:color="auto" w:sz="4" w:space="0"/>
              <w:right w:val="single" w:color="auto" w:sz="4" w:space="0"/>
            </w:tcBorders>
            <w:vAlign w:val="center"/>
          </w:tcPr>
          <w:p w14:paraId="1CB50A7D">
            <w:pPr>
              <w:topLinePunct/>
              <w:spacing w:line="440" w:lineRule="exact"/>
              <w:rPr>
                <w:rFonts w:hint="eastAsia" w:ascii="仿宋" w:hAnsi="仿宋" w:eastAsia="仿宋" w:cs="仿宋"/>
                <w:sz w:val="24"/>
                <w:szCs w:val="24"/>
              </w:rPr>
            </w:pPr>
          </w:p>
        </w:tc>
      </w:tr>
      <w:tr w14:paraId="3646E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668C8E7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6757" w:type="dxa"/>
            <w:gridSpan w:val="4"/>
            <w:tcBorders>
              <w:top w:val="single" w:color="auto" w:sz="4" w:space="0"/>
              <w:left w:val="single" w:color="auto" w:sz="4" w:space="0"/>
              <w:right w:val="single" w:color="auto" w:sz="4" w:space="0"/>
            </w:tcBorders>
            <w:vAlign w:val="center"/>
          </w:tcPr>
          <w:p w14:paraId="0FDB6C1D">
            <w:pPr>
              <w:topLinePunct/>
              <w:spacing w:line="440" w:lineRule="exact"/>
              <w:rPr>
                <w:rFonts w:hint="eastAsia" w:ascii="仿宋" w:hAnsi="仿宋" w:eastAsia="仿宋" w:cs="仿宋"/>
                <w:sz w:val="24"/>
                <w:szCs w:val="24"/>
              </w:rPr>
            </w:pPr>
          </w:p>
        </w:tc>
      </w:tr>
      <w:tr w14:paraId="5A0B5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553E7FE4">
            <w:pPr>
              <w:topLinePunct/>
              <w:spacing w:before="100" w:beforeAutospacing="1" w:after="100" w:afterAutospacing="1"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关联企业情况</w:t>
            </w:r>
          </w:p>
        </w:tc>
        <w:tc>
          <w:tcPr>
            <w:tcW w:w="6757" w:type="dxa"/>
            <w:gridSpan w:val="4"/>
            <w:tcBorders>
              <w:top w:val="single" w:color="auto" w:sz="4" w:space="0"/>
              <w:left w:val="single" w:color="auto" w:sz="4" w:space="0"/>
              <w:right w:val="single" w:color="auto" w:sz="4" w:space="0"/>
            </w:tcBorders>
            <w:vAlign w:val="center"/>
          </w:tcPr>
          <w:p w14:paraId="29EFDB55">
            <w:pPr>
              <w:topLinePunct/>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应提供关联企业情况，包括：</w:t>
            </w:r>
          </w:p>
          <w:p w14:paraId="1E293984">
            <w:pPr>
              <w:topLinePunct/>
              <w:ind w:firstLine="0" w:firstLineChars="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 w:hAnsi="仿宋" w:eastAsia="仿宋" w:cs="仿宋"/>
                <w:sz w:val="24"/>
                <w:szCs w:val="24"/>
              </w:rPr>
              <w:t>投资（控股）或管理的下属企业名称、持有股权（出资额）比例；</w:t>
            </w:r>
          </w:p>
          <w:p w14:paraId="2505593D">
            <w:pPr>
              <w:topLinePunct/>
              <w:ind w:firstLine="0" w:firstLineChars="0"/>
              <w:jc w:val="left"/>
              <w:rPr>
                <w:rFonts w:hint="eastAsia" w:ascii="仿宋" w:hAnsi="仿宋" w:eastAsia="仿宋" w:cs="仿宋"/>
                <w:sz w:val="24"/>
                <w:szCs w:val="24"/>
              </w:rPr>
            </w:pPr>
            <w:r>
              <w:rPr>
                <w:rFonts w:hint="eastAsia" w:ascii="仿宋" w:hAnsi="仿宋" w:eastAsia="仿宋" w:cs="仿宋"/>
                <w:sz w:val="24"/>
                <w:szCs w:val="24"/>
              </w:rPr>
              <w:t>（2）与</w:t>
            </w:r>
            <w:r>
              <w:rPr>
                <w:rFonts w:hint="eastAsia" w:ascii="仿宋" w:hAnsi="仿宋" w:eastAsia="仿宋" w:cs="仿宋"/>
                <w:sz w:val="24"/>
                <w:szCs w:val="24"/>
                <w:lang w:val="en-US" w:eastAsia="zh-CN"/>
              </w:rPr>
              <w:t>供应商</w:t>
            </w:r>
            <w:r>
              <w:rPr>
                <w:rFonts w:hint="eastAsia" w:ascii="仿宋" w:hAnsi="仿宋" w:eastAsia="仿宋" w:cs="仿宋"/>
                <w:sz w:val="24"/>
                <w:szCs w:val="24"/>
              </w:rPr>
              <w:t>单位负责人（即法定代表人）为同一人的其他单位名称；</w:t>
            </w:r>
          </w:p>
          <w:p w14:paraId="16F2F1E7">
            <w:pPr>
              <w:topLinePunct/>
              <w:ind w:firstLine="0" w:firstLineChars="0"/>
              <w:jc w:val="left"/>
              <w:rPr>
                <w:rFonts w:hint="eastAsia" w:ascii="仿宋" w:hAnsi="仿宋" w:eastAsia="仿宋" w:cs="仿宋"/>
                <w:sz w:val="24"/>
                <w:szCs w:val="24"/>
              </w:rPr>
            </w:pPr>
            <w:r>
              <w:rPr>
                <w:rFonts w:hint="eastAsia" w:ascii="仿宋" w:hAnsi="仿宋" w:eastAsia="仿宋" w:cs="仿宋"/>
                <w:sz w:val="24"/>
                <w:szCs w:val="24"/>
              </w:rPr>
              <w:t>（3）......</w:t>
            </w:r>
          </w:p>
        </w:tc>
      </w:tr>
      <w:tr w14:paraId="36B71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689C128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110C9118">
            <w:pPr>
              <w:topLinePunct/>
              <w:spacing w:line="440" w:lineRule="exact"/>
              <w:jc w:val="center"/>
              <w:rPr>
                <w:rFonts w:hint="eastAsia" w:ascii="仿宋" w:hAnsi="仿宋" w:eastAsia="仿宋" w:cs="仿宋"/>
                <w:sz w:val="24"/>
                <w:szCs w:val="24"/>
              </w:rPr>
            </w:pPr>
          </w:p>
        </w:tc>
      </w:tr>
    </w:tbl>
    <w:p w14:paraId="44DD1243">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w:t>
      </w:r>
    </w:p>
    <w:p w14:paraId="7AFCB5CC">
      <w:pPr>
        <w:spacing w:line="4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供应商应根据本项目供应商资格要求，在本表后附资质证书、营业执照和组织机构代码证的（按照“三证合一”或“五证合一”登记制度进行登记的，可仅提供营业执照）等相关证明材料。</w:t>
      </w:r>
    </w:p>
    <w:p w14:paraId="54185905">
      <w:pPr>
        <w:spacing w:line="4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供应商为依法允许经营的事业单位的，应提交事业单位法人证书和组织机构代码。</w:t>
      </w:r>
    </w:p>
    <w:p w14:paraId="7A4D038D">
      <w:pPr>
        <w:spacing w:line="4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 接受联合体的，联合体成员分别填写。</w:t>
      </w:r>
    </w:p>
    <w:p w14:paraId="7E19C388">
      <w:pPr>
        <w:spacing w:line="400" w:lineRule="exact"/>
        <w:rPr>
          <w:rFonts w:hint="eastAsia" w:ascii="仿宋" w:hAnsi="仿宋" w:eastAsia="仿宋" w:cs="仿宋"/>
          <w:color w:val="000000"/>
        </w:rPr>
      </w:pPr>
    </w:p>
    <w:p w14:paraId="0956CF59">
      <w:pPr>
        <w:pStyle w:val="11"/>
        <w:rPr>
          <w:rFonts w:hint="default" w:ascii="仿宋" w:hAnsi="仿宋" w:eastAsia="仿宋" w:cs="仿宋"/>
          <w:color w:val="000000"/>
          <w:kern w:val="2"/>
          <w:sz w:val="21"/>
          <w:szCs w:val="22"/>
          <w:lang w:val="en-US" w:eastAsia="zh-CN" w:bidi="ar-SA"/>
        </w:rPr>
      </w:pPr>
    </w:p>
    <w:p w14:paraId="07202593">
      <w:pPr>
        <w:spacing w:line="400" w:lineRule="exact"/>
        <w:rPr>
          <w:rFonts w:hint="eastAsia" w:ascii="仿宋" w:hAnsi="仿宋" w:eastAsia="仿宋" w:cs="仿宋"/>
          <w:color w:val="000000"/>
        </w:rPr>
      </w:pPr>
    </w:p>
    <w:p w14:paraId="22287FEB">
      <w:pPr>
        <w:spacing w:line="440" w:lineRule="exact"/>
        <w:rPr>
          <w:rFonts w:hint="eastAsia" w:ascii="仿宋" w:hAnsi="仿宋" w:eastAsia="仿宋" w:cs="仿宋"/>
          <w:sz w:val="20"/>
        </w:rPr>
      </w:pPr>
      <w:r>
        <w:rPr>
          <w:rFonts w:hint="eastAsia" w:ascii="仿宋" w:hAnsi="仿宋" w:eastAsia="仿宋" w:cs="仿宋"/>
          <w:color w:val="000000"/>
        </w:rPr>
        <w:br w:type="page"/>
      </w:r>
    </w:p>
    <w:p w14:paraId="77D42B0F">
      <w:pPr>
        <w:pStyle w:val="4"/>
        <w:spacing w:before="20" w:after="0"/>
        <w:ind w:firstLine="137"/>
        <w:jc w:val="center"/>
        <w:rPr>
          <w:rFonts w:hint="eastAsia" w:ascii="仿宋" w:hAnsi="仿宋" w:eastAsia="仿宋" w:cs="仿宋"/>
          <w:color w:val="000000"/>
        </w:rPr>
      </w:pPr>
      <w:bookmarkStart w:id="629" w:name="_Toc14686"/>
      <w:bookmarkStart w:id="630" w:name="_Toc14559"/>
      <w:bookmarkStart w:id="631" w:name="_Toc26291"/>
      <w:r>
        <w:rPr>
          <w:rFonts w:hint="eastAsia" w:ascii="仿宋" w:hAnsi="仿宋" w:eastAsia="仿宋" w:cs="仿宋"/>
        </w:rPr>
        <w:t>（二）</w:t>
      </w:r>
      <w:r>
        <w:rPr>
          <w:rFonts w:hint="eastAsia" w:ascii="仿宋" w:hAnsi="仿宋" w:eastAsia="仿宋" w:cs="仿宋"/>
          <w:color w:val="auto"/>
          <w:szCs w:val="24"/>
        </w:rPr>
        <w:t>近年财务状况（</w:t>
      </w:r>
      <w:r>
        <w:rPr>
          <w:rFonts w:hint="eastAsia" w:ascii="仿宋" w:hAnsi="仿宋" w:eastAsia="仿宋" w:cs="仿宋"/>
          <w:color w:val="auto"/>
          <w:szCs w:val="24"/>
          <w:lang w:val="en-US" w:eastAsia="zh-CN"/>
        </w:rPr>
        <w:t>本项目无须提供</w:t>
      </w:r>
      <w:r>
        <w:rPr>
          <w:rFonts w:hint="eastAsia" w:ascii="仿宋" w:hAnsi="仿宋" w:eastAsia="仿宋" w:cs="仿宋"/>
          <w:color w:val="auto"/>
          <w:szCs w:val="24"/>
        </w:rPr>
        <w:t>）</w:t>
      </w:r>
      <w:bookmarkEnd w:id="629"/>
      <w:bookmarkEnd w:id="630"/>
      <w:bookmarkEnd w:id="631"/>
    </w:p>
    <w:p w14:paraId="18E0A4BF">
      <w:pPr>
        <w:spacing w:line="400" w:lineRule="exact"/>
        <w:ind w:firstLine="420" w:firstLineChars="200"/>
        <w:rPr>
          <w:rFonts w:hint="eastAsia" w:ascii="仿宋" w:hAnsi="仿宋" w:eastAsia="仿宋" w:cs="仿宋"/>
        </w:rPr>
      </w:pPr>
    </w:p>
    <w:p w14:paraId="30421C6F">
      <w:pPr>
        <w:spacing w:line="400" w:lineRule="exact"/>
        <w:ind w:firstLine="420" w:firstLineChars="200"/>
        <w:rPr>
          <w:rFonts w:hint="eastAsia" w:ascii="仿宋" w:hAnsi="仿宋" w:eastAsia="仿宋" w:cs="仿宋"/>
        </w:rPr>
      </w:pPr>
    </w:p>
    <w:p w14:paraId="6C2243DC">
      <w:pPr>
        <w:spacing w:line="400" w:lineRule="exact"/>
        <w:ind w:firstLine="420" w:firstLineChars="200"/>
        <w:rPr>
          <w:rFonts w:hint="eastAsia" w:ascii="仿宋" w:hAnsi="仿宋" w:eastAsia="仿宋" w:cs="仿宋"/>
        </w:rPr>
      </w:pPr>
    </w:p>
    <w:p w14:paraId="140CEBA3">
      <w:pPr>
        <w:spacing w:line="400" w:lineRule="exact"/>
        <w:ind w:firstLine="420" w:firstLineChars="200"/>
        <w:rPr>
          <w:rFonts w:hint="eastAsia" w:ascii="仿宋" w:hAnsi="仿宋" w:eastAsia="仿宋" w:cs="仿宋"/>
        </w:rPr>
      </w:pPr>
    </w:p>
    <w:p w14:paraId="492502C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注：供应商应根据询比采购公告 </w:t>
      </w:r>
      <w:r>
        <w:rPr>
          <w:rFonts w:hint="eastAsia" w:ascii="仿宋" w:hAnsi="仿宋" w:eastAsia="仿宋" w:cs="仿宋"/>
          <w:bCs/>
          <w:snapToGrid w:val="0"/>
          <w:color w:val="auto"/>
          <w:sz w:val="24"/>
          <w:szCs w:val="24"/>
        </w:rPr>
        <w:t>3.1.</w:t>
      </w:r>
      <w:r>
        <w:rPr>
          <w:rFonts w:hint="eastAsia" w:ascii="仿宋" w:hAnsi="仿宋" w:eastAsia="仿宋" w:cs="仿宋"/>
          <w:bCs/>
          <w:snapToGrid w:val="0"/>
          <w:color w:val="auto"/>
          <w:sz w:val="24"/>
          <w:szCs w:val="24"/>
          <w:lang w:val="en-US" w:eastAsia="zh-CN"/>
        </w:rPr>
        <w:t>4 项要求，提供财务状况资料。如</w:t>
      </w:r>
      <w:r>
        <w:rPr>
          <w:rFonts w:hint="eastAsia" w:ascii="仿宋" w:hAnsi="仿宋" w:eastAsia="仿宋" w:cs="仿宋"/>
          <w:bCs/>
          <w:snapToGrid w:val="0"/>
          <w:color w:val="auto"/>
          <w:sz w:val="24"/>
          <w:szCs w:val="24"/>
        </w:rPr>
        <w:t>3.1.</w:t>
      </w:r>
      <w:r>
        <w:rPr>
          <w:rFonts w:hint="eastAsia" w:ascii="仿宋" w:hAnsi="仿宋" w:eastAsia="仿宋" w:cs="仿宋"/>
          <w:bCs/>
          <w:snapToGrid w:val="0"/>
          <w:color w:val="auto"/>
          <w:sz w:val="24"/>
          <w:szCs w:val="24"/>
          <w:lang w:val="en-US" w:eastAsia="zh-CN"/>
        </w:rPr>
        <w:t>4 项中要求提供</w:t>
      </w:r>
      <w:r>
        <w:rPr>
          <w:rFonts w:hint="eastAsia" w:ascii="仿宋" w:hAnsi="仿宋" w:eastAsia="仿宋" w:cs="仿宋"/>
          <w:sz w:val="24"/>
          <w:szCs w:val="24"/>
        </w:rPr>
        <w:t>“近年财务状况表”</w:t>
      </w:r>
      <w:r>
        <w:rPr>
          <w:rFonts w:hint="eastAsia" w:ascii="仿宋" w:hAnsi="仿宋" w:eastAsia="仿宋" w:cs="仿宋"/>
          <w:sz w:val="24"/>
          <w:szCs w:val="24"/>
          <w:lang w:val="en-US" w:eastAsia="zh-CN"/>
        </w:rPr>
        <w:t>的，</w:t>
      </w:r>
      <w:r>
        <w:rPr>
          <w:rFonts w:hint="eastAsia" w:ascii="仿宋" w:hAnsi="仿宋" w:eastAsia="仿宋" w:cs="仿宋"/>
          <w:sz w:val="24"/>
          <w:szCs w:val="24"/>
        </w:rPr>
        <w:t>应</w:t>
      </w:r>
      <w:r>
        <w:rPr>
          <w:rFonts w:hint="eastAsia" w:ascii="仿宋" w:hAnsi="仿宋" w:eastAsia="仿宋" w:cs="仿宋"/>
          <w:sz w:val="24"/>
          <w:szCs w:val="24"/>
          <w:lang w:val="en-US" w:eastAsia="zh-CN"/>
        </w:rPr>
        <w:t>按年份要求</w:t>
      </w:r>
      <w:r>
        <w:rPr>
          <w:rFonts w:hint="eastAsia" w:ascii="仿宋" w:hAnsi="仿宋" w:eastAsia="仿宋" w:cs="仿宋"/>
          <w:sz w:val="24"/>
          <w:szCs w:val="24"/>
        </w:rPr>
        <w:t>附经会计师事务所或审计机构审计的财务会计报表，包括资产负债表、现金流量表、利润表和财务情况说明书。</w:t>
      </w:r>
      <w:r>
        <w:rPr>
          <w:rFonts w:hint="eastAsia" w:ascii="仿宋" w:hAnsi="仿宋" w:eastAsia="仿宋" w:cs="仿宋"/>
          <w:sz w:val="24"/>
          <w:szCs w:val="24"/>
          <w:lang w:eastAsia="zh-CN"/>
        </w:rPr>
        <w:t>供应商</w:t>
      </w:r>
      <w:r>
        <w:rPr>
          <w:rFonts w:hint="eastAsia" w:ascii="仿宋" w:hAnsi="仿宋" w:eastAsia="仿宋" w:cs="仿宋"/>
          <w:sz w:val="24"/>
          <w:szCs w:val="24"/>
        </w:rPr>
        <w:t>的成立时间少于</w:t>
      </w:r>
      <w:r>
        <w:rPr>
          <w:rFonts w:hint="eastAsia" w:ascii="仿宋" w:hAnsi="仿宋" w:eastAsia="仿宋" w:cs="仿宋"/>
          <w:bCs/>
          <w:snapToGrid w:val="0"/>
          <w:color w:val="auto"/>
          <w:sz w:val="24"/>
          <w:szCs w:val="24"/>
        </w:rPr>
        <w:t>3.1.</w:t>
      </w:r>
      <w:r>
        <w:rPr>
          <w:rFonts w:hint="eastAsia" w:ascii="仿宋" w:hAnsi="仿宋" w:eastAsia="仿宋" w:cs="仿宋"/>
          <w:bCs/>
          <w:snapToGrid w:val="0"/>
          <w:color w:val="auto"/>
          <w:sz w:val="24"/>
          <w:szCs w:val="24"/>
          <w:lang w:val="en-US" w:eastAsia="zh-CN"/>
        </w:rPr>
        <w:t>4 项</w:t>
      </w:r>
      <w:r>
        <w:rPr>
          <w:rFonts w:hint="eastAsia" w:ascii="仿宋" w:hAnsi="仿宋" w:eastAsia="仿宋" w:cs="仿宋"/>
          <w:sz w:val="24"/>
          <w:szCs w:val="24"/>
        </w:rPr>
        <w:t>规定年份的，应提供成立以来的财务状况表。</w:t>
      </w:r>
    </w:p>
    <w:p w14:paraId="751B9564">
      <w:pPr>
        <w:topLinePunct/>
        <w:spacing w:line="440" w:lineRule="exact"/>
        <w:ind w:firstLine="400" w:firstLineChars="200"/>
        <w:rPr>
          <w:rFonts w:hint="eastAsia" w:ascii="仿宋" w:hAnsi="仿宋" w:eastAsia="仿宋" w:cs="仿宋"/>
          <w:sz w:val="20"/>
        </w:rPr>
      </w:pPr>
    </w:p>
    <w:p w14:paraId="12EBD7C7">
      <w:pPr>
        <w:rPr>
          <w:rFonts w:hint="eastAsia" w:ascii="仿宋" w:hAnsi="仿宋" w:eastAsia="仿宋" w:cs="仿宋"/>
        </w:rPr>
      </w:pPr>
      <w:r>
        <w:rPr>
          <w:rFonts w:hint="eastAsia" w:ascii="仿宋" w:hAnsi="仿宋" w:eastAsia="仿宋" w:cs="仿宋"/>
        </w:rPr>
        <w:br w:type="page"/>
      </w:r>
    </w:p>
    <w:p w14:paraId="640A523B">
      <w:pPr>
        <w:pStyle w:val="4"/>
        <w:spacing w:before="20" w:after="0"/>
        <w:ind w:firstLine="137"/>
        <w:jc w:val="center"/>
        <w:rPr>
          <w:rFonts w:hint="eastAsia" w:ascii="仿宋" w:hAnsi="仿宋" w:eastAsia="仿宋" w:cs="仿宋"/>
          <w:b w:val="0"/>
          <w:bCs w:val="0"/>
          <w:color w:val="auto"/>
          <w:szCs w:val="24"/>
        </w:rPr>
      </w:pPr>
      <w:bookmarkStart w:id="632" w:name="_Toc9378"/>
      <w:bookmarkStart w:id="633" w:name="_Toc25218"/>
      <w:bookmarkStart w:id="634" w:name="_Toc1350"/>
      <w:r>
        <w:rPr>
          <w:rFonts w:hint="eastAsia" w:ascii="仿宋" w:hAnsi="仿宋" w:eastAsia="仿宋" w:cs="仿宋"/>
          <w:b w:val="0"/>
          <w:bCs w:val="0"/>
        </w:rPr>
        <w:t>（三）</w:t>
      </w:r>
      <w:bookmarkStart w:id="635" w:name="_Toc17174"/>
      <w:r>
        <w:rPr>
          <w:rFonts w:hint="eastAsia" w:ascii="仿宋" w:hAnsi="仿宋" w:eastAsia="仿宋" w:cs="仿宋"/>
          <w:b w:val="0"/>
          <w:bCs w:val="0"/>
          <w:color w:val="auto"/>
          <w:szCs w:val="24"/>
          <w:lang w:eastAsia="zh-CN"/>
        </w:rPr>
        <w:t>供应商</w:t>
      </w:r>
      <w:r>
        <w:rPr>
          <w:rFonts w:hint="eastAsia" w:ascii="仿宋" w:hAnsi="仿宋" w:eastAsia="仿宋" w:cs="仿宋"/>
          <w:b w:val="0"/>
          <w:bCs w:val="0"/>
          <w:color w:val="auto"/>
          <w:szCs w:val="24"/>
        </w:rPr>
        <w:t>业绩情况表</w:t>
      </w:r>
      <w:bookmarkEnd w:id="632"/>
      <w:bookmarkEnd w:id="633"/>
      <w:bookmarkEnd w:id="634"/>
      <w:bookmarkEnd w:id="635"/>
    </w:p>
    <w:tbl>
      <w:tblPr>
        <w:tblStyle w:val="31"/>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3"/>
        <w:gridCol w:w="5353"/>
        <w:gridCol w:w="1849"/>
      </w:tblGrid>
      <w:tr w14:paraId="24E27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noWrap w:val="0"/>
            <w:vAlign w:val="center"/>
          </w:tcPr>
          <w:p w14:paraId="0A911C93">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资格审查业绩</w:t>
            </w:r>
          </w:p>
        </w:tc>
      </w:tr>
      <w:tr w14:paraId="1DC15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noWrap w:val="0"/>
            <w:vAlign w:val="center"/>
          </w:tcPr>
          <w:p w14:paraId="064DEB0B">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业绩序号</w:t>
            </w:r>
          </w:p>
        </w:tc>
        <w:tc>
          <w:tcPr>
            <w:tcW w:w="3026" w:type="pct"/>
            <w:noWrap w:val="0"/>
            <w:vAlign w:val="center"/>
          </w:tcPr>
          <w:p w14:paraId="1E7F67BB">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项目名称（合同名称）</w:t>
            </w:r>
          </w:p>
        </w:tc>
        <w:tc>
          <w:tcPr>
            <w:tcW w:w="1043" w:type="pct"/>
            <w:noWrap w:val="0"/>
            <w:vAlign w:val="center"/>
          </w:tcPr>
          <w:p w14:paraId="51C6D955">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备注</w:t>
            </w:r>
          </w:p>
        </w:tc>
      </w:tr>
      <w:tr w14:paraId="6CE3F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noWrap w:val="0"/>
            <w:vAlign w:val="center"/>
          </w:tcPr>
          <w:p w14:paraId="4E215767">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3026" w:type="pct"/>
            <w:noWrap w:val="0"/>
            <w:vAlign w:val="center"/>
          </w:tcPr>
          <w:p w14:paraId="04DE582E">
            <w:pPr>
              <w:jc w:val="center"/>
              <w:rPr>
                <w:rFonts w:hint="eastAsia" w:ascii="仿宋" w:hAnsi="仿宋" w:eastAsia="仿宋" w:cs="仿宋"/>
                <w:b w:val="0"/>
                <w:bCs/>
                <w:color w:val="auto"/>
                <w:sz w:val="24"/>
                <w:szCs w:val="24"/>
              </w:rPr>
            </w:pPr>
          </w:p>
        </w:tc>
        <w:tc>
          <w:tcPr>
            <w:tcW w:w="1043" w:type="pct"/>
            <w:noWrap w:val="0"/>
            <w:vAlign w:val="center"/>
          </w:tcPr>
          <w:p w14:paraId="108F2781">
            <w:pPr>
              <w:jc w:val="center"/>
              <w:rPr>
                <w:rFonts w:hint="eastAsia" w:ascii="仿宋" w:hAnsi="仿宋" w:eastAsia="仿宋" w:cs="仿宋"/>
                <w:b w:val="0"/>
                <w:bCs/>
                <w:color w:val="auto"/>
                <w:sz w:val="24"/>
                <w:szCs w:val="24"/>
              </w:rPr>
            </w:pPr>
          </w:p>
        </w:tc>
      </w:tr>
      <w:tr w14:paraId="0FCC6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noWrap w:val="0"/>
            <w:vAlign w:val="center"/>
          </w:tcPr>
          <w:p w14:paraId="0E3C8336">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c>
          <w:tcPr>
            <w:tcW w:w="3026" w:type="pct"/>
            <w:noWrap w:val="0"/>
            <w:vAlign w:val="center"/>
          </w:tcPr>
          <w:p w14:paraId="652B9611">
            <w:pPr>
              <w:jc w:val="center"/>
              <w:rPr>
                <w:rFonts w:hint="eastAsia" w:ascii="仿宋" w:hAnsi="仿宋" w:eastAsia="仿宋" w:cs="仿宋"/>
                <w:b w:val="0"/>
                <w:bCs/>
                <w:color w:val="auto"/>
                <w:sz w:val="24"/>
                <w:szCs w:val="24"/>
              </w:rPr>
            </w:pPr>
          </w:p>
        </w:tc>
        <w:tc>
          <w:tcPr>
            <w:tcW w:w="1043" w:type="pct"/>
            <w:noWrap w:val="0"/>
            <w:vAlign w:val="center"/>
          </w:tcPr>
          <w:p w14:paraId="7B96670D">
            <w:pPr>
              <w:jc w:val="center"/>
              <w:rPr>
                <w:rFonts w:hint="eastAsia" w:ascii="仿宋" w:hAnsi="仿宋" w:eastAsia="仿宋" w:cs="仿宋"/>
                <w:b w:val="0"/>
                <w:bCs/>
                <w:color w:val="auto"/>
                <w:sz w:val="24"/>
                <w:szCs w:val="24"/>
              </w:rPr>
            </w:pPr>
          </w:p>
        </w:tc>
      </w:tr>
      <w:tr w14:paraId="70DB7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noWrap w:val="0"/>
            <w:vAlign w:val="center"/>
          </w:tcPr>
          <w:p w14:paraId="091FE08C">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3026" w:type="pct"/>
            <w:noWrap w:val="0"/>
            <w:vAlign w:val="center"/>
          </w:tcPr>
          <w:p w14:paraId="303456B1">
            <w:pPr>
              <w:jc w:val="center"/>
              <w:rPr>
                <w:rFonts w:hint="eastAsia" w:ascii="仿宋" w:hAnsi="仿宋" w:eastAsia="仿宋" w:cs="仿宋"/>
                <w:b w:val="0"/>
                <w:bCs/>
                <w:color w:val="auto"/>
                <w:sz w:val="24"/>
                <w:szCs w:val="24"/>
              </w:rPr>
            </w:pPr>
          </w:p>
        </w:tc>
        <w:tc>
          <w:tcPr>
            <w:tcW w:w="1043" w:type="pct"/>
            <w:noWrap w:val="0"/>
            <w:vAlign w:val="center"/>
          </w:tcPr>
          <w:p w14:paraId="3AE0CAB5">
            <w:pPr>
              <w:jc w:val="center"/>
              <w:rPr>
                <w:rFonts w:hint="eastAsia" w:ascii="仿宋" w:hAnsi="仿宋" w:eastAsia="仿宋" w:cs="仿宋"/>
                <w:b w:val="0"/>
                <w:bCs/>
                <w:color w:val="auto"/>
                <w:sz w:val="24"/>
                <w:szCs w:val="24"/>
              </w:rPr>
            </w:pPr>
          </w:p>
        </w:tc>
      </w:tr>
      <w:tr w14:paraId="7BC4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noWrap w:val="0"/>
            <w:vAlign w:val="center"/>
          </w:tcPr>
          <w:p w14:paraId="59D22C0C">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商务评分业绩</w:t>
            </w:r>
          </w:p>
        </w:tc>
      </w:tr>
      <w:tr w14:paraId="38BB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noWrap w:val="0"/>
            <w:vAlign w:val="center"/>
          </w:tcPr>
          <w:p w14:paraId="2A197071">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业绩序号</w:t>
            </w:r>
          </w:p>
        </w:tc>
        <w:tc>
          <w:tcPr>
            <w:tcW w:w="3026" w:type="pct"/>
            <w:noWrap w:val="0"/>
            <w:vAlign w:val="center"/>
          </w:tcPr>
          <w:p w14:paraId="20A8F17C">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项目名称（合同名称）</w:t>
            </w:r>
          </w:p>
        </w:tc>
        <w:tc>
          <w:tcPr>
            <w:tcW w:w="1043" w:type="pct"/>
            <w:noWrap w:val="0"/>
            <w:vAlign w:val="center"/>
          </w:tcPr>
          <w:p w14:paraId="24E9FD82">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备注</w:t>
            </w:r>
          </w:p>
        </w:tc>
      </w:tr>
      <w:tr w14:paraId="78D7A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noWrap w:val="0"/>
            <w:vAlign w:val="center"/>
          </w:tcPr>
          <w:p w14:paraId="58325236">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1</w:t>
            </w:r>
          </w:p>
        </w:tc>
        <w:tc>
          <w:tcPr>
            <w:tcW w:w="3026" w:type="pct"/>
            <w:noWrap w:val="0"/>
            <w:vAlign w:val="center"/>
          </w:tcPr>
          <w:p w14:paraId="48253215">
            <w:pPr>
              <w:jc w:val="center"/>
              <w:rPr>
                <w:rFonts w:hint="eastAsia" w:ascii="仿宋" w:hAnsi="仿宋" w:eastAsia="仿宋" w:cs="仿宋"/>
                <w:b w:val="0"/>
                <w:bCs/>
                <w:color w:val="auto"/>
                <w:kern w:val="2"/>
                <w:sz w:val="24"/>
                <w:szCs w:val="24"/>
                <w:lang w:val="en-US" w:eastAsia="zh-CN" w:bidi="ar-SA"/>
              </w:rPr>
            </w:pPr>
          </w:p>
        </w:tc>
        <w:tc>
          <w:tcPr>
            <w:tcW w:w="1043" w:type="pct"/>
            <w:noWrap w:val="0"/>
            <w:vAlign w:val="center"/>
          </w:tcPr>
          <w:p w14:paraId="3A8BEDEF">
            <w:pPr>
              <w:jc w:val="center"/>
              <w:rPr>
                <w:rFonts w:hint="eastAsia" w:ascii="仿宋" w:hAnsi="仿宋" w:eastAsia="仿宋" w:cs="仿宋"/>
                <w:b w:val="0"/>
                <w:bCs/>
                <w:color w:val="auto"/>
                <w:kern w:val="2"/>
                <w:sz w:val="24"/>
                <w:szCs w:val="24"/>
                <w:lang w:val="en-US" w:eastAsia="zh-CN" w:bidi="ar-SA"/>
              </w:rPr>
            </w:pPr>
          </w:p>
        </w:tc>
      </w:tr>
      <w:tr w14:paraId="778B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noWrap w:val="0"/>
            <w:vAlign w:val="center"/>
          </w:tcPr>
          <w:p w14:paraId="4B1958E0">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2</w:t>
            </w:r>
          </w:p>
        </w:tc>
        <w:tc>
          <w:tcPr>
            <w:tcW w:w="3026" w:type="pct"/>
            <w:noWrap w:val="0"/>
            <w:vAlign w:val="center"/>
          </w:tcPr>
          <w:p w14:paraId="37150056">
            <w:pPr>
              <w:jc w:val="center"/>
              <w:rPr>
                <w:rFonts w:hint="eastAsia" w:ascii="仿宋" w:hAnsi="仿宋" w:eastAsia="仿宋" w:cs="仿宋"/>
                <w:b w:val="0"/>
                <w:bCs/>
                <w:color w:val="auto"/>
                <w:kern w:val="2"/>
                <w:sz w:val="24"/>
                <w:szCs w:val="24"/>
                <w:lang w:val="en-US" w:eastAsia="zh-CN" w:bidi="ar-SA"/>
              </w:rPr>
            </w:pPr>
          </w:p>
        </w:tc>
        <w:tc>
          <w:tcPr>
            <w:tcW w:w="1043" w:type="pct"/>
            <w:noWrap w:val="0"/>
            <w:vAlign w:val="center"/>
          </w:tcPr>
          <w:p w14:paraId="4757C5FD">
            <w:pPr>
              <w:jc w:val="center"/>
              <w:rPr>
                <w:rFonts w:hint="eastAsia" w:ascii="仿宋" w:hAnsi="仿宋" w:eastAsia="仿宋" w:cs="仿宋"/>
                <w:b w:val="0"/>
                <w:bCs/>
                <w:color w:val="auto"/>
                <w:kern w:val="2"/>
                <w:sz w:val="24"/>
                <w:szCs w:val="24"/>
                <w:lang w:val="en-US" w:eastAsia="zh-CN" w:bidi="ar-SA"/>
              </w:rPr>
            </w:pPr>
          </w:p>
        </w:tc>
      </w:tr>
      <w:tr w14:paraId="0ED8C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0" w:type="auto"/>
            <w:vAlign w:val="center"/>
          </w:tcPr>
          <w:p w14:paraId="7BDED612">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w:t>
            </w:r>
          </w:p>
        </w:tc>
        <w:tc>
          <w:tcPr>
            <w:tcW w:w="0" w:type="auto"/>
            <w:vAlign w:val="center"/>
          </w:tcPr>
          <w:p w14:paraId="30EC6D67">
            <w:pPr>
              <w:jc w:val="center"/>
              <w:rPr>
                <w:rFonts w:hint="eastAsia" w:ascii="仿宋" w:hAnsi="仿宋" w:eastAsia="仿宋" w:cs="仿宋"/>
                <w:b w:val="0"/>
                <w:bCs/>
                <w:color w:val="auto"/>
                <w:kern w:val="2"/>
                <w:sz w:val="24"/>
                <w:szCs w:val="24"/>
                <w:lang w:val="en-US" w:eastAsia="zh-CN" w:bidi="ar-SA"/>
              </w:rPr>
            </w:pPr>
          </w:p>
        </w:tc>
        <w:tc>
          <w:tcPr>
            <w:tcW w:w="0" w:type="auto"/>
            <w:vAlign w:val="center"/>
          </w:tcPr>
          <w:p w14:paraId="42A33A94">
            <w:pPr>
              <w:jc w:val="center"/>
              <w:rPr>
                <w:rFonts w:hint="eastAsia" w:ascii="仿宋" w:hAnsi="仿宋" w:eastAsia="仿宋" w:cs="仿宋"/>
                <w:b w:val="0"/>
                <w:bCs/>
                <w:color w:val="auto"/>
                <w:kern w:val="2"/>
                <w:sz w:val="24"/>
                <w:szCs w:val="24"/>
                <w:lang w:val="en-US" w:eastAsia="zh-CN" w:bidi="ar-SA"/>
              </w:rPr>
            </w:pPr>
          </w:p>
        </w:tc>
      </w:tr>
    </w:tbl>
    <w:p w14:paraId="31A3570E">
      <w:pPr>
        <w:spacing w:line="360" w:lineRule="auto"/>
        <w:ind w:firstLine="420" w:firstLineChars="200"/>
        <w:rPr>
          <w:rFonts w:hint="eastAsia" w:ascii="仿宋" w:hAnsi="仿宋" w:eastAsia="仿宋" w:cs="仿宋"/>
          <w:color w:val="auto"/>
        </w:rPr>
      </w:pPr>
    </w:p>
    <w:p w14:paraId="5C4AB07F">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rPr>
        <w:t>注：</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应将用于</w:t>
      </w:r>
      <w:r>
        <w:rPr>
          <w:rFonts w:hint="eastAsia" w:ascii="仿宋" w:hAnsi="仿宋" w:eastAsia="仿宋" w:cs="仿宋"/>
          <w:b w:val="0"/>
          <w:bCs w:val="0"/>
          <w:color w:val="auto"/>
          <w:sz w:val="24"/>
          <w:szCs w:val="24"/>
          <w:lang w:val="en-US" w:eastAsia="zh-CN"/>
        </w:rPr>
        <w:t>资格审查及</w:t>
      </w:r>
      <w:r>
        <w:rPr>
          <w:rFonts w:hint="eastAsia" w:ascii="仿宋" w:hAnsi="仿宋" w:eastAsia="仿宋" w:cs="仿宋"/>
          <w:b w:val="0"/>
          <w:bCs w:val="0"/>
          <w:color w:val="auto"/>
          <w:sz w:val="24"/>
          <w:szCs w:val="24"/>
        </w:rPr>
        <w:t>商务</w:t>
      </w:r>
      <w:r>
        <w:rPr>
          <w:rFonts w:hint="eastAsia" w:ascii="仿宋" w:hAnsi="仿宋" w:eastAsia="仿宋" w:cs="仿宋"/>
          <w:b w:val="0"/>
          <w:bCs w:val="0"/>
          <w:color w:val="auto"/>
          <w:sz w:val="24"/>
          <w:szCs w:val="24"/>
          <w:lang w:val="en-US" w:eastAsia="zh-CN"/>
        </w:rPr>
        <w:t>评分</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业绩</w:t>
      </w:r>
      <w:r>
        <w:rPr>
          <w:rFonts w:hint="eastAsia" w:ascii="仿宋" w:hAnsi="仿宋" w:eastAsia="仿宋" w:cs="仿宋"/>
          <w:color w:val="auto"/>
          <w:sz w:val="24"/>
          <w:szCs w:val="24"/>
        </w:rPr>
        <w:t>在上表中列明，按照列明的业绩序号先后顺序依次填写“</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业绩信息表（详细评审）”，并附相应业绩证明材料。</w:t>
      </w:r>
      <w:r>
        <w:rPr>
          <w:rFonts w:hint="eastAsia" w:ascii="仿宋" w:hAnsi="仿宋" w:eastAsia="仿宋" w:cs="仿宋"/>
          <w:color w:val="auto"/>
          <w:sz w:val="24"/>
          <w:szCs w:val="24"/>
          <w:lang w:val="en-US" w:eastAsia="zh-CN"/>
        </w:rPr>
        <w:t>应附证明材料及时间要求见</w:t>
      </w:r>
      <w:r>
        <w:rPr>
          <w:rFonts w:hint="eastAsia" w:ascii="仿宋" w:hAnsi="仿宋" w:eastAsia="仿宋" w:cs="仿宋"/>
          <w:color w:val="000000"/>
          <w:sz w:val="24"/>
          <w:szCs w:val="24"/>
        </w:rPr>
        <w:t>第一章</w:t>
      </w:r>
      <w:r>
        <w:rPr>
          <w:rFonts w:hint="eastAsia" w:ascii="仿宋" w:hAnsi="仿宋" w:eastAsia="仿宋" w:cs="仿宋"/>
          <w:color w:val="000000"/>
          <w:sz w:val="24"/>
          <w:szCs w:val="24"/>
          <w:lang w:eastAsia="zh-CN"/>
        </w:rPr>
        <w:t>“</w:t>
      </w:r>
      <w:r>
        <w:rPr>
          <w:rFonts w:hint="eastAsia" w:ascii="仿宋" w:hAnsi="仿宋" w:eastAsia="仿宋" w:cs="仿宋"/>
          <w:color w:val="auto"/>
          <w:sz w:val="24"/>
          <w:szCs w:val="24"/>
          <w:lang w:val="en-US" w:eastAsia="zh-CN"/>
        </w:rPr>
        <w:t>询比</w:t>
      </w:r>
      <w:r>
        <w:rPr>
          <w:rFonts w:hint="eastAsia" w:ascii="仿宋" w:hAnsi="仿宋" w:eastAsia="仿宋" w:cs="仿宋"/>
          <w:color w:val="auto"/>
          <w:sz w:val="24"/>
          <w:szCs w:val="24"/>
        </w:rPr>
        <w:t>采购公告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第三章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评审</w:t>
      </w:r>
      <w:r>
        <w:rPr>
          <w:rFonts w:hint="eastAsia" w:ascii="仿宋" w:hAnsi="仿宋" w:eastAsia="仿宋" w:cs="仿宋"/>
          <w:color w:val="000000"/>
          <w:sz w:val="24"/>
          <w:szCs w:val="24"/>
        </w:rPr>
        <w:t>办法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相关内容。</w:t>
      </w:r>
    </w:p>
    <w:p w14:paraId="696A06E3">
      <w:pPr>
        <w:numPr>
          <w:ilvl w:val="0"/>
          <w:numId w:val="0"/>
        </w:numPr>
        <w:spacing w:line="360" w:lineRule="auto"/>
        <w:rPr>
          <w:rFonts w:hint="eastAsia" w:ascii="仿宋" w:hAnsi="仿宋" w:eastAsia="仿宋" w:cs="仿宋"/>
          <w:color w:val="auto"/>
          <w:sz w:val="24"/>
          <w:szCs w:val="24"/>
        </w:rPr>
      </w:pPr>
    </w:p>
    <w:p w14:paraId="2E7FE701">
      <w:pPr>
        <w:spacing w:line="440" w:lineRule="exact"/>
        <w:ind w:firstLine="420" w:firstLineChars="200"/>
        <w:rPr>
          <w:rFonts w:hint="eastAsia" w:ascii="仿宋" w:hAnsi="仿宋" w:eastAsia="仿宋" w:cs="仿宋"/>
        </w:rPr>
      </w:pPr>
    </w:p>
    <w:p w14:paraId="4420FCB6">
      <w:pPr>
        <w:spacing w:line="440" w:lineRule="exact"/>
        <w:rPr>
          <w:rFonts w:hint="eastAsia" w:ascii="仿宋" w:hAnsi="仿宋" w:eastAsia="仿宋" w:cs="仿宋"/>
        </w:rPr>
      </w:pPr>
    </w:p>
    <w:p w14:paraId="285F1553">
      <w:pPr>
        <w:spacing w:line="440" w:lineRule="exact"/>
        <w:rPr>
          <w:rFonts w:hint="eastAsia" w:ascii="仿宋" w:hAnsi="仿宋" w:eastAsia="仿宋" w:cs="仿宋"/>
        </w:rPr>
      </w:pPr>
    </w:p>
    <w:p w14:paraId="3F51A45D">
      <w:pPr>
        <w:topLinePunct/>
        <w:spacing w:line="440" w:lineRule="exact"/>
        <w:rPr>
          <w:rFonts w:hint="eastAsia" w:ascii="仿宋" w:hAnsi="仿宋" w:eastAsia="仿宋" w:cs="仿宋"/>
        </w:rPr>
      </w:pPr>
      <w:r>
        <w:rPr>
          <w:rFonts w:hint="eastAsia" w:ascii="仿宋" w:hAnsi="仿宋" w:eastAsia="仿宋" w:cs="仿宋"/>
        </w:rPr>
        <w:br w:type="page"/>
      </w:r>
    </w:p>
    <w:p w14:paraId="78712F79">
      <w:pPr>
        <w:pStyle w:val="4"/>
        <w:bidi w:val="0"/>
        <w:jc w:val="center"/>
        <w:rPr>
          <w:rFonts w:hint="eastAsia" w:ascii="仿宋" w:hAnsi="仿宋" w:eastAsia="仿宋" w:cs="仿宋"/>
          <w:lang w:val="en-US" w:eastAsia="zh-CN"/>
        </w:rPr>
      </w:pPr>
      <w:bookmarkStart w:id="636" w:name="_Toc370676438"/>
      <w:bookmarkStart w:id="637" w:name="_Toc144974878"/>
      <w:bookmarkStart w:id="638" w:name="_Toc152042600"/>
      <w:bookmarkStart w:id="639" w:name="_Toc247527850"/>
      <w:bookmarkStart w:id="640" w:name="_Toc361508766"/>
      <w:bookmarkStart w:id="641" w:name="_Toc152045811"/>
      <w:bookmarkStart w:id="642" w:name="_Toc247527851"/>
      <w:bookmarkStart w:id="643" w:name="_Toc359594247"/>
      <w:bookmarkStart w:id="644" w:name="_Toc152042599"/>
      <w:bookmarkStart w:id="645" w:name="_Toc247514302"/>
      <w:bookmarkStart w:id="646" w:name="_Toc384308388"/>
      <w:bookmarkStart w:id="647" w:name="_Toc300835226"/>
      <w:bookmarkStart w:id="648" w:name="_Toc152045810"/>
      <w:bookmarkStart w:id="649" w:name="_Toc247514303"/>
      <w:bookmarkStart w:id="650" w:name="_Toc144974879"/>
      <w:bookmarkStart w:id="651" w:name="_Toc31751"/>
      <w:bookmarkStart w:id="652" w:name="_Toc23215"/>
      <w:bookmarkStart w:id="653" w:name="_Toc8587"/>
      <w:r>
        <w:rPr>
          <w:rFonts w:hint="eastAsia" w:ascii="仿宋" w:hAnsi="仿宋" w:eastAsia="仿宋" w:cs="仿宋"/>
          <w:lang w:val="en-US" w:eastAsia="zh-CN"/>
        </w:rPr>
        <w:t>（四）</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Start w:id="654" w:name="_Toc20943"/>
      <w:r>
        <w:rPr>
          <w:rFonts w:hint="eastAsia" w:ascii="仿宋" w:hAnsi="仿宋" w:eastAsia="仿宋" w:cs="仿宋"/>
          <w:lang w:val="en-US" w:eastAsia="zh-CN"/>
        </w:rPr>
        <w:t>供应商业绩信息表</w:t>
      </w:r>
      <w:bookmarkEnd w:id="651"/>
      <w:bookmarkEnd w:id="652"/>
      <w:bookmarkEnd w:id="653"/>
      <w:bookmarkEnd w:id="654"/>
    </w:p>
    <w:tbl>
      <w:tblPr>
        <w:tblStyle w:val="31"/>
        <w:tblW w:w="5019"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520"/>
      </w:tblGrid>
      <w:tr w14:paraId="458B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noWrap w:val="0"/>
            <w:vAlign w:val="center"/>
          </w:tcPr>
          <w:p w14:paraId="653AD6B4">
            <w:pPr>
              <w:autoSpaceDE w:val="0"/>
              <w:autoSpaceDN w:val="0"/>
              <w:adjustRightInd w:val="0"/>
              <w:spacing w:line="3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p w14:paraId="033F79B5">
            <w:pPr>
              <w:autoSpaceDE w:val="0"/>
              <w:autoSpaceDN w:val="0"/>
              <w:adjustRightInd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rPr>
              <w:t>（合同名称）</w:t>
            </w:r>
          </w:p>
        </w:tc>
        <w:tc>
          <w:tcPr>
            <w:tcW w:w="6274" w:type="dxa"/>
            <w:noWrap w:val="0"/>
            <w:vAlign w:val="center"/>
          </w:tcPr>
          <w:p w14:paraId="43B38927">
            <w:pPr>
              <w:topLinePunct/>
              <w:spacing w:line="360" w:lineRule="auto"/>
              <w:rPr>
                <w:rFonts w:hint="eastAsia" w:ascii="仿宋" w:hAnsi="仿宋" w:eastAsia="仿宋" w:cs="仿宋"/>
                <w:color w:val="auto"/>
                <w:sz w:val="24"/>
                <w:szCs w:val="24"/>
              </w:rPr>
            </w:pPr>
          </w:p>
        </w:tc>
      </w:tr>
      <w:tr w14:paraId="58A9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noWrap w:val="0"/>
            <w:vAlign w:val="center"/>
          </w:tcPr>
          <w:p w14:paraId="29E74830">
            <w:pPr>
              <w:autoSpaceDE w:val="0"/>
              <w:autoSpaceDN w:val="0"/>
              <w:adjustRightInd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rPr>
              <w:t>项目所在地</w:t>
            </w:r>
          </w:p>
        </w:tc>
        <w:tc>
          <w:tcPr>
            <w:tcW w:w="6274" w:type="dxa"/>
            <w:noWrap w:val="0"/>
            <w:vAlign w:val="center"/>
          </w:tcPr>
          <w:p w14:paraId="4D06287B">
            <w:pPr>
              <w:topLinePunct/>
              <w:spacing w:line="360" w:lineRule="auto"/>
              <w:rPr>
                <w:rFonts w:hint="eastAsia" w:ascii="仿宋" w:hAnsi="仿宋" w:eastAsia="仿宋" w:cs="仿宋"/>
                <w:color w:val="auto"/>
                <w:sz w:val="24"/>
                <w:szCs w:val="24"/>
              </w:rPr>
            </w:pPr>
          </w:p>
        </w:tc>
      </w:tr>
      <w:tr w14:paraId="5E78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noWrap w:val="0"/>
            <w:vAlign w:val="center"/>
          </w:tcPr>
          <w:p w14:paraId="303C58A1">
            <w:pPr>
              <w:autoSpaceDE w:val="0"/>
              <w:autoSpaceDN w:val="0"/>
              <w:adjustRightInd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eastAsia="zh-CN"/>
              </w:rPr>
              <w:t>发包人</w:t>
            </w:r>
            <w:r>
              <w:rPr>
                <w:rFonts w:hint="eastAsia" w:ascii="仿宋" w:hAnsi="仿宋" w:eastAsia="仿宋" w:cs="仿宋"/>
                <w:color w:val="auto"/>
                <w:kern w:val="0"/>
                <w:sz w:val="24"/>
                <w:szCs w:val="24"/>
                <w:highlight w:val="none"/>
              </w:rPr>
              <w:t>名称</w:t>
            </w:r>
          </w:p>
        </w:tc>
        <w:tc>
          <w:tcPr>
            <w:tcW w:w="6274" w:type="dxa"/>
            <w:noWrap w:val="0"/>
            <w:vAlign w:val="center"/>
          </w:tcPr>
          <w:p w14:paraId="749718C0">
            <w:pPr>
              <w:topLinePunct/>
              <w:spacing w:line="360" w:lineRule="auto"/>
              <w:rPr>
                <w:rFonts w:hint="eastAsia" w:ascii="仿宋" w:hAnsi="仿宋" w:eastAsia="仿宋" w:cs="仿宋"/>
                <w:color w:val="auto"/>
                <w:sz w:val="24"/>
                <w:szCs w:val="24"/>
              </w:rPr>
            </w:pPr>
          </w:p>
        </w:tc>
      </w:tr>
      <w:tr w14:paraId="1F0A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noWrap w:val="0"/>
            <w:vAlign w:val="center"/>
          </w:tcPr>
          <w:p w14:paraId="0FEAE769">
            <w:pPr>
              <w:autoSpaceDE w:val="0"/>
              <w:autoSpaceDN w:val="0"/>
              <w:adjustRightInd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eastAsia="zh-CN"/>
              </w:rPr>
              <w:t>发包人</w:t>
            </w:r>
            <w:r>
              <w:rPr>
                <w:rFonts w:hint="eastAsia" w:ascii="仿宋" w:hAnsi="仿宋" w:eastAsia="仿宋" w:cs="仿宋"/>
                <w:color w:val="auto"/>
                <w:kern w:val="0"/>
                <w:sz w:val="24"/>
                <w:szCs w:val="24"/>
                <w:highlight w:val="none"/>
              </w:rPr>
              <w:t>地址</w:t>
            </w:r>
          </w:p>
        </w:tc>
        <w:tc>
          <w:tcPr>
            <w:tcW w:w="6274" w:type="dxa"/>
            <w:noWrap w:val="0"/>
            <w:vAlign w:val="center"/>
          </w:tcPr>
          <w:p w14:paraId="6AB74206">
            <w:pPr>
              <w:topLinePunct/>
              <w:spacing w:line="360" w:lineRule="auto"/>
              <w:rPr>
                <w:rFonts w:hint="eastAsia" w:ascii="仿宋" w:hAnsi="仿宋" w:eastAsia="仿宋" w:cs="仿宋"/>
                <w:color w:val="auto"/>
                <w:sz w:val="24"/>
                <w:szCs w:val="24"/>
              </w:rPr>
            </w:pPr>
          </w:p>
        </w:tc>
      </w:tr>
      <w:tr w14:paraId="0E2B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noWrap w:val="0"/>
            <w:vAlign w:val="center"/>
          </w:tcPr>
          <w:p w14:paraId="616B7C8E">
            <w:pPr>
              <w:autoSpaceDE w:val="0"/>
              <w:autoSpaceDN w:val="0"/>
              <w:adjustRightInd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eastAsia="zh-CN"/>
              </w:rPr>
              <w:t>发包人</w:t>
            </w:r>
            <w:r>
              <w:rPr>
                <w:rFonts w:hint="eastAsia" w:ascii="仿宋" w:hAnsi="仿宋" w:eastAsia="仿宋" w:cs="仿宋"/>
                <w:color w:val="auto"/>
                <w:kern w:val="0"/>
                <w:sz w:val="24"/>
                <w:szCs w:val="24"/>
                <w:highlight w:val="none"/>
              </w:rPr>
              <w:t>电话</w:t>
            </w:r>
          </w:p>
        </w:tc>
        <w:tc>
          <w:tcPr>
            <w:tcW w:w="6274" w:type="dxa"/>
            <w:noWrap w:val="0"/>
            <w:vAlign w:val="center"/>
          </w:tcPr>
          <w:p w14:paraId="3F70EA6B">
            <w:pPr>
              <w:topLinePunct/>
              <w:spacing w:line="360" w:lineRule="auto"/>
              <w:rPr>
                <w:rFonts w:hint="eastAsia" w:ascii="仿宋" w:hAnsi="仿宋" w:eastAsia="仿宋" w:cs="仿宋"/>
                <w:color w:val="auto"/>
                <w:sz w:val="24"/>
                <w:szCs w:val="24"/>
              </w:rPr>
            </w:pPr>
          </w:p>
        </w:tc>
      </w:tr>
      <w:tr w14:paraId="0100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noWrap w:val="0"/>
            <w:vAlign w:val="center"/>
          </w:tcPr>
          <w:p w14:paraId="00B3311F">
            <w:pPr>
              <w:autoSpaceDE w:val="0"/>
              <w:autoSpaceDN w:val="0"/>
              <w:adjustRightInd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rPr>
              <w:t>合同价格</w:t>
            </w:r>
          </w:p>
        </w:tc>
        <w:tc>
          <w:tcPr>
            <w:tcW w:w="6274" w:type="dxa"/>
            <w:noWrap w:val="0"/>
            <w:vAlign w:val="center"/>
          </w:tcPr>
          <w:p w14:paraId="1AC9C064">
            <w:pPr>
              <w:topLinePunct/>
              <w:spacing w:line="360" w:lineRule="auto"/>
              <w:rPr>
                <w:rFonts w:hint="eastAsia" w:ascii="仿宋" w:hAnsi="仿宋" w:eastAsia="仿宋" w:cs="仿宋"/>
                <w:color w:val="auto"/>
                <w:sz w:val="24"/>
                <w:szCs w:val="24"/>
              </w:rPr>
            </w:pPr>
          </w:p>
        </w:tc>
      </w:tr>
      <w:tr w14:paraId="6690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noWrap w:val="0"/>
            <w:vAlign w:val="center"/>
          </w:tcPr>
          <w:p w14:paraId="26748849">
            <w:pPr>
              <w:topLinePunct/>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项目概况及履约情况</w:t>
            </w:r>
          </w:p>
        </w:tc>
        <w:tc>
          <w:tcPr>
            <w:tcW w:w="6274" w:type="dxa"/>
            <w:noWrap w:val="0"/>
            <w:vAlign w:val="center"/>
          </w:tcPr>
          <w:p w14:paraId="3D5B1E03">
            <w:pPr>
              <w:topLinePunct/>
              <w:spacing w:line="360" w:lineRule="auto"/>
              <w:rPr>
                <w:rFonts w:hint="eastAsia" w:ascii="仿宋" w:hAnsi="仿宋" w:eastAsia="仿宋" w:cs="仿宋"/>
                <w:color w:val="auto"/>
                <w:sz w:val="24"/>
                <w:szCs w:val="24"/>
              </w:rPr>
            </w:pPr>
          </w:p>
          <w:p w14:paraId="0CECF402">
            <w:pPr>
              <w:topLinePunct/>
              <w:spacing w:line="360" w:lineRule="auto"/>
              <w:rPr>
                <w:rFonts w:hint="eastAsia" w:ascii="仿宋" w:hAnsi="仿宋" w:eastAsia="仿宋" w:cs="仿宋"/>
                <w:color w:val="auto"/>
                <w:sz w:val="24"/>
                <w:szCs w:val="24"/>
              </w:rPr>
            </w:pPr>
          </w:p>
          <w:p w14:paraId="14519F3D">
            <w:pPr>
              <w:topLinePunct/>
              <w:spacing w:line="360" w:lineRule="auto"/>
              <w:rPr>
                <w:rFonts w:hint="eastAsia" w:ascii="仿宋" w:hAnsi="仿宋" w:eastAsia="仿宋" w:cs="仿宋"/>
                <w:color w:val="auto"/>
                <w:sz w:val="24"/>
                <w:szCs w:val="24"/>
              </w:rPr>
            </w:pPr>
          </w:p>
          <w:p w14:paraId="1DB3B2FF">
            <w:pPr>
              <w:topLinePunct/>
              <w:spacing w:line="360" w:lineRule="auto"/>
              <w:rPr>
                <w:rFonts w:hint="eastAsia" w:ascii="仿宋" w:hAnsi="仿宋" w:eastAsia="仿宋" w:cs="仿宋"/>
                <w:color w:val="auto"/>
                <w:sz w:val="24"/>
                <w:szCs w:val="24"/>
              </w:rPr>
            </w:pPr>
          </w:p>
          <w:p w14:paraId="5F5FE703">
            <w:pPr>
              <w:topLinePunct/>
              <w:spacing w:line="360" w:lineRule="auto"/>
              <w:rPr>
                <w:rFonts w:hint="eastAsia" w:ascii="仿宋" w:hAnsi="仿宋" w:eastAsia="仿宋" w:cs="仿宋"/>
                <w:color w:val="auto"/>
                <w:sz w:val="24"/>
                <w:szCs w:val="24"/>
              </w:rPr>
            </w:pPr>
          </w:p>
          <w:p w14:paraId="7A47F369">
            <w:pPr>
              <w:topLinePunct/>
              <w:spacing w:line="360" w:lineRule="auto"/>
              <w:rPr>
                <w:rFonts w:hint="eastAsia" w:ascii="仿宋" w:hAnsi="仿宋" w:eastAsia="仿宋" w:cs="仿宋"/>
                <w:color w:val="auto"/>
                <w:sz w:val="24"/>
                <w:szCs w:val="24"/>
              </w:rPr>
            </w:pPr>
          </w:p>
          <w:p w14:paraId="47CE1D08">
            <w:pPr>
              <w:topLinePunct/>
              <w:spacing w:line="360" w:lineRule="auto"/>
              <w:rPr>
                <w:rFonts w:hint="eastAsia" w:ascii="仿宋" w:hAnsi="仿宋" w:eastAsia="仿宋" w:cs="仿宋"/>
                <w:color w:val="auto"/>
                <w:sz w:val="24"/>
                <w:szCs w:val="24"/>
              </w:rPr>
            </w:pPr>
          </w:p>
        </w:tc>
      </w:tr>
      <w:tr w14:paraId="35F2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noWrap w:val="0"/>
            <w:vAlign w:val="center"/>
          </w:tcPr>
          <w:p w14:paraId="480360C5">
            <w:pPr>
              <w:topLinePunct/>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6274" w:type="dxa"/>
            <w:noWrap w:val="0"/>
            <w:vAlign w:val="center"/>
          </w:tcPr>
          <w:p w14:paraId="63A0E10E">
            <w:pPr>
              <w:topLinePunct/>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资格审查业绩/商务评分业绩</w:t>
            </w:r>
          </w:p>
        </w:tc>
      </w:tr>
    </w:tbl>
    <w:p w14:paraId="63BAF4DD">
      <w:pPr>
        <w:spacing w:line="440" w:lineRule="exact"/>
        <w:rPr>
          <w:rFonts w:hint="eastAsia" w:ascii="仿宋" w:hAnsi="仿宋" w:eastAsia="仿宋" w:cs="仿宋"/>
          <w:sz w:val="24"/>
          <w:szCs w:val="24"/>
        </w:rPr>
      </w:pPr>
      <w:r>
        <w:rPr>
          <w:rFonts w:hint="eastAsia" w:ascii="仿宋" w:hAnsi="仿宋" w:eastAsia="仿宋" w:cs="仿宋"/>
          <w:color w:val="auto"/>
          <w:sz w:val="24"/>
          <w:szCs w:val="24"/>
        </w:rPr>
        <w:t>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应根据</w:t>
      </w:r>
      <w:r>
        <w:rPr>
          <w:rFonts w:hint="eastAsia" w:ascii="仿宋" w:hAnsi="仿宋" w:eastAsia="仿宋" w:cs="仿宋"/>
          <w:color w:val="auto"/>
          <w:sz w:val="24"/>
          <w:szCs w:val="24"/>
          <w:lang w:eastAsia="zh-CN"/>
        </w:rPr>
        <w:t>询比</w:t>
      </w:r>
      <w:r>
        <w:rPr>
          <w:rFonts w:hint="eastAsia" w:ascii="仿宋" w:hAnsi="仿宋" w:eastAsia="仿宋" w:cs="仿宋"/>
          <w:color w:val="auto"/>
          <w:sz w:val="24"/>
          <w:szCs w:val="24"/>
        </w:rPr>
        <w:t>文件要求在本表后附相关证明材料。</w:t>
      </w:r>
    </w:p>
    <w:p w14:paraId="35211793">
      <w:pPr>
        <w:spacing w:line="440" w:lineRule="exact"/>
        <w:rPr>
          <w:rFonts w:hint="eastAsia" w:ascii="仿宋" w:hAnsi="仿宋" w:eastAsia="仿宋" w:cs="仿宋"/>
        </w:rPr>
      </w:pPr>
      <w:r>
        <w:rPr>
          <w:rFonts w:hint="eastAsia" w:ascii="仿宋" w:hAnsi="仿宋" w:eastAsia="仿宋" w:cs="仿宋"/>
        </w:rPr>
        <w:br w:type="page"/>
      </w:r>
    </w:p>
    <w:p w14:paraId="1368C4FF">
      <w:pPr>
        <w:pStyle w:val="4"/>
        <w:jc w:val="center"/>
        <w:outlineLvl w:val="2"/>
        <w:rPr>
          <w:rFonts w:hint="eastAsia" w:ascii="仿宋" w:hAnsi="仿宋" w:eastAsia="仿宋" w:cs="仿宋"/>
          <w:bCs w:val="0"/>
          <w:color w:val="auto"/>
        </w:rPr>
      </w:pPr>
      <w:bookmarkStart w:id="655" w:name="_Toc9946"/>
      <w:bookmarkStart w:id="656" w:name="_Toc20069"/>
      <w:bookmarkStart w:id="657" w:name="_Toc4861"/>
      <w:r>
        <w:rPr>
          <w:rFonts w:hint="eastAsia" w:ascii="仿宋" w:hAnsi="仿宋" w:eastAsia="仿宋" w:cs="仿宋"/>
          <w:color w:val="000000"/>
        </w:rPr>
        <w:t>（五）</w:t>
      </w:r>
      <w:r>
        <w:rPr>
          <w:rFonts w:hint="eastAsia" w:ascii="仿宋" w:hAnsi="仿宋" w:eastAsia="仿宋" w:cs="仿宋"/>
          <w:bCs/>
          <w:color w:val="auto"/>
          <w:lang w:eastAsia="zh-CN"/>
        </w:rPr>
        <w:t>供应商</w:t>
      </w:r>
      <w:r>
        <w:rPr>
          <w:rFonts w:hint="eastAsia" w:ascii="仿宋" w:hAnsi="仿宋" w:eastAsia="仿宋" w:cs="仿宋"/>
          <w:bCs/>
          <w:color w:val="auto"/>
        </w:rPr>
        <w:t>信誉情况</w:t>
      </w:r>
      <w:r>
        <w:rPr>
          <w:rFonts w:hint="eastAsia" w:ascii="仿宋" w:hAnsi="仿宋" w:eastAsia="仿宋" w:cs="仿宋"/>
          <w:bCs w:val="0"/>
          <w:color w:val="auto"/>
        </w:rPr>
        <w:t>诚信</w:t>
      </w:r>
      <w:r>
        <w:rPr>
          <w:rFonts w:hint="eastAsia" w:ascii="仿宋" w:hAnsi="仿宋" w:eastAsia="仿宋" w:cs="仿宋"/>
          <w:bCs w:val="0"/>
          <w:color w:val="auto"/>
          <w:lang w:eastAsia="zh-CN"/>
        </w:rPr>
        <w:t>响应</w:t>
      </w:r>
      <w:r>
        <w:rPr>
          <w:rFonts w:hint="eastAsia" w:ascii="仿宋" w:hAnsi="仿宋" w:eastAsia="仿宋" w:cs="仿宋"/>
          <w:bCs w:val="0"/>
          <w:color w:val="auto"/>
        </w:rPr>
        <w:t>承诺书</w:t>
      </w:r>
      <w:bookmarkEnd w:id="655"/>
      <w:bookmarkEnd w:id="656"/>
      <w:bookmarkEnd w:id="657"/>
    </w:p>
    <w:p w14:paraId="1D5C6682">
      <w:pPr>
        <w:spacing w:line="360" w:lineRule="auto"/>
        <w:rPr>
          <w:rFonts w:hint="eastAsia" w:ascii="仿宋" w:hAnsi="仿宋" w:eastAsia="仿宋" w:cs="仿宋"/>
          <w:color w:val="auto"/>
          <w:sz w:val="24"/>
          <w:szCs w:val="24"/>
        </w:rPr>
      </w:pPr>
      <w:r>
        <w:rPr>
          <w:rFonts w:hint="eastAsia" w:ascii="仿宋" w:hAnsi="仿宋" w:eastAsia="仿宋" w:cs="仿宋"/>
          <w:bCs/>
          <w:color w:val="auto"/>
          <w:sz w:val="24"/>
          <w:szCs w:val="24"/>
          <w:u w:val="single"/>
        </w:rPr>
        <w:t>致：（</w:t>
      </w:r>
      <w:r>
        <w:rPr>
          <w:rFonts w:hint="eastAsia" w:ascii="仿宋" w:hAnsi="仿宋" w:eastAsia="仿宋" w:cs="仿宋"/>
          <w:bCs/>
          <w:color w:val="auto"/>
          <w:sz w:val="24"/>
          <w:szCs w:val="24"/>
          <w:u w:val="single"/>
          <w:lang w:eastAsia="zh-CN"/>
        </w:rPr>
        <w:t>采购人</w:t>
      </w:r>
      <w:r>
        <w:rPr>
          <w:rFonts w:hint="eastAsia" w:ascii="仿宋" w:hAnsi="仿宋" w:eastAsia="仿宋" w:cs="仿宋"/>
          <w:bCs/>
          <w:color w:val="auto"/>
          <w:sz w:val="24"/>
          <w:szCs w:val="24"/>
          <w:u w:val="single"/>
        </w:rPr>
        <w:t>）</w:t>
      </w:r>
    </w:p>
    <w:p w14:paraId="1B8DE452">
      <w:pPr>
        <w:spacing w:before="240" w:beforeLines="10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我公司郑重承诺：</w:t>
      </w:r>
    </w:p>
    <w:p w14:paraId="23C93C0B">
      <w:pPr>
        <w:spacing w:before="240" w:beforeLines="10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1.遵循公开、公正和诚实信用的原则自愿参加</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采购</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u w:val="single"/>
          <w:lang w:val="en-US" w:eastAsia="zh-CN"/>
        </w:rPr>
        <w:t>/采购项目编号</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lang w:val="en-US" w:eastAsia="zh-CN"/>
        </w:rPr>
        <w:t>采购包</w:t>
      </w:r>
      <w:r>
        <w:rPr>
          <w:rFonts w:hint="eastAsia" w:ascii="仿宋" w:hAnsi="仿宋" w:eastAsia="仿宋" w:cs="仿宋"/>
          <w:color w:val="auto"/>
          <w:sz w:val="24"/>
          <w:szCs w:val="24"/>
        </w:rPr>
        <w:t>的</w:t>
      </w:r>
      <w:r>
        <w:rPr>
          <w:rFonts w:hint="eastAsia" w:ascii="仿宋" w:hAnsi="仿宋" w:eastAsia="仿宋" w:cs="仿宋"/>
          <w:color w:val="auto"/>
          <w:sz w:val="24"/>
          <w:szCs w:val="24"/>
          <w:lang w:val="en-US" w:eastAsia="zh-CN"/>
        </w:rPr>
        <w:t>询比采购活动</w:t>
      </w:r>
      <w:r>
        <w:rPr>
          <w:rFonts w:hint="eastAsia" w:ascii="仿宋" w:hAnsi="仿宋" w:eastAsia="仿宋" w:cs="仿宋"/>
          <w:color w:val="auto"/>
          <w:sz w:val="24"/>
          <w:szCs w:val="24"/>
        </w:rPr>
        <w:t>。</w:t>
      </w:r>
    </w:p>
    <w:p w14:paraId="45DD13A0">
      <w:pPr>
        <w:spacing w:before="240" w:beforeLines="10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2.本次</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提供的资质证书、业绩及奖项等一切材料均真实、有效、合法</w:t>
      </w:r>
      <w:r>
        <w:rPr>
          <w:rFonts w:hint="eastAsia" w:ascii="仿宋" w:hAnsi="仿宋" w:eastAsia="仿宋" w:cs="仿宋"/>
          <w:color w:val="auto"/>
          <w:sz w:val="24"/>
          <w:szCs w:val="24"/>
          <w:lang w:val="en-US" w:eastAsia="zh-CN"/>
        </w:rPr>
        <w:t>。</w:t>
      </w:r>
    </w:p>
    <w:p w14:paraId="4E7A7A49">
      <w:pPr>
        <w:spacing w:before="240" w:beforeLines="10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3.本次</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为我公司自行</w:t>
      </w:r>
      <w:r>
        <w:rPr>
          <w:rFonts w:hint="eastAsia" w:ascii="仿宋" w:hAnsi="仿宋" w:eastAsia="仿宋" w:cs="仿宋"/>
          <w:color w:val="auto"/>
          <w:sz w:val="24"/>
          <w:szCs w:val="24"/>
          <w:lang w:val="en-US" w:eastAsia="zh-CN"/>
        </w:rPr>
        <w:t>参与询比采购活动</w:t>
      </w:r>
      <w:r>
        <w:rPr>
          <w:rFonts w:hint="eastAsia" w:ascii="仿宋" w:hAnsi="仿宋" w:eastAsia="仿宋" w:cs="仿宋"/>
          <w:color w:val="auto"/>
          <w:sz w:val="24"/>
          <w:szCs w:val="24"/>
        </w:rPr>
        <w:t>，未出借、转让资质证书，未让他人挂靠</w:t>
      </w:r>
      <w:r>
        <w:rPr>
          <w:rFonts w:hint="eastAsia" w:ascii="仿宋" w:hAnsi="仿宋" w:eastAsia="仿宋" w:cs="仿宋"/>
          <w:color w:val="auto"/>
          <w:sz w:val="24"/>
          <w:szCs w:val="24"/>
          <w:lang w:val="en-US" w:eastAsia="zh-CN"/>
        </w:rPr>
        <w:t>参与询比询比采购活动</w:t>
      </w:r>
      <w:r>
        <w:rPr>
          <w:rFonts w:hint="eastAsia" w:ascii="仿宋" w:hAnsi="仿宋" w:eastAsia="仿宋" w:cs="仿宋"/>
          <w:color w:val="auto"/>
          <w:sz w:val="24"/>
          <w:szCs w:val="24"/>
        </w:rPr>
        <w:t>。</w:t>
      </w:r>
    </w:p>
    <w:p w14:paraId="786739E6">
      <w:pPr>
        <w:spacing w:before="240" w:beforeLines="10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4.未与其他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相互串通</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报价，未排挤其他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的公平竞争、损害</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的合法权益。</w:t>
      </w:r>
    </w:p>
    <w:p w14:paraId="324049AA">
      <w:pPr>
        <w:spacing w:before="240" w:beforeLines="10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5.未与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询比</w:t>
      </w:r>
      <w:r>
        <w:rPr>
          <w:rFonts w:hint="eastAsia" w:ascii="仿宋" w:hAnsi="仿宋" w:eastAsia="仿宋" w:cs="仿宋"/>
          <w:color w:val="auto"/>
          <w:sz w:val="24"/>
          <w:szCs w:val="24"/>
        </w:rPr>
        <w:t>代理机构或其他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串通</w:t>
      </w:r>
      <w:r>
        <w:rPr>
          <w:rFonts w:hint="eastAsia" w:ascii="仿宋" w:hAnsi="仿宋" w:eastAsia="仿宋" w:cs="仿宋"/>
          <w:color w:val="auto"/>
          <w:sz w:val="24"/>
          <w:szCs w:val="24"/>
          <w:lang w:val="en-US" w:eastAsia="zh-CN"/>
        </w:rPr>
        <w:t>询比</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，损害国家利益、社会公共利益或者他人的合法权益。</w:t>
      </w:r>
    </w:p>
    <w:p w14:paraId="5091632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后按照合同约定履行义务，完成</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项目；不向他人转让</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项目，不将</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项目肢解后分别向他人转让；不违法分包。</w:t>
      </w:r>
    </w:p>
    <w:p w14:paraId="29777D0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7.如提出异议（投诉），对提供的异议（投诉）材料的真实性负责，不恶意异议（投诉）；不捏造事实、提供虚假材料或者以非法手段取得证明材料进行异议（投诉），影响交易活动正常进行；否则，我公司愿</w:t>
      </w:r>
      <w:r>
        <w:rPr>
          <w:rFonts w:hint="eastAsia" w:ascii="仿宋" w:hAnsi="仿宋" w:eastAsia="仿宋" w:cs="仿宋"/>
          <w:color w:val="auto"/>
          <w:sz w:val="24"/>
          <w:szCs w:val="24"/>
          <w:lang w:eastAsia="zh-CN"/>
        </w:rPr>
        <w:t>意</w:t>
      </w:r>
      <w:r>
        <w:rPr>
          <w:rFonts w:hint="eastAsia" w:ascii="仿宋" w:hAnsi="仿宋" w:eastAsia="仿宋" w:cs="仿宋"/>
          <w:color w:val="auto"/>
          <w:sz w:val="24"/>
          <w:szCs w:val="24"/>
        </w:rPr>
        <w:t>接受交易监督管理部门作出的相关</w:t>
      </w:r>
      <w:r>
        <w:rPr>
          <w:rFonts w:hint="eastAsia" w:ascii="仿宋" w:hAnsi="仿宋" w:eastAsia="仿宋" w:cs="仿宋"/>
          <w:color w:val="auto"/>
          <w:sz w:val="24"/>
          <w:szCs w:val="24"/>
          <w:lang w:eastAsia="zh-CN"/>
        </w:rPr>
        <w:t>处理、</w:t>
      </w:r>
      <w:r>
        <w:rPr>
          <w:rFonts w:hint="eastAsia" w:ascii="仿宋" w:hAnsi="仿宋" w:eastAsia="仿宋" w:cs="仿宋"/>
          <w:color w:val="auto"/>
          <w:sz w:val="24"/>
          <w:szCs w:val="24"/>
        </w:rPr>
        <w:t>处罚。</w:t>
      </w:r>
    </w:p>
    <w:p w14:paraId="268B6C6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8.本次</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不存在第二章“</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须知”第</w:t>
      </w:r>
      <w:r>
        <w:rPr>
          <w:rFonts w:hint="eastAsia" w:ascii="仿宋" w:hAnsi="仿宋" w:eastAsia="仿宋" w:cs="仿宋"/>
          <w:color w:val="auto"/>
          <w:sz w:val="24"/>
          <w:szCs w:val="24"/>
          <w:lang w:val="en-US" w:eastAsia="zh-CN"/>
        </w:rPr>
        <w:t>1.2.2</w:t>
      </w:r>
      <w:r>
        <w:rPr>
          <w:rFonts w:hint="eastAsia" w:ascii="仿宋" w:hAnsi="仿宋" w:eastAsia="仿宋" w:cs="仿宋"/>
          <w:color w:val="auto"/>
          <w:sz w:val="24"/>
          <w:szCs w:val="24"/>
        </w:rPr>
        <w:t>项、第</w:t>
      </w:r>
      <w:r>
        <w:rPr>
          <w:rFonts w:hint="eastAsia" w:ascii="仿宋" w:hAnsi="仿宋" w:eastAsia="仿宋" w:cs="仿宋"/>
          <w:color w:val="auto"/>
          <w:sz w:val="24"/>
          <w:szCs w:val="24"/>
          <w:lang w:val="en-US" w:eastAsia="zh-CN"/>
        </w:rPr>
        <w:t>1.2.3</w:t>
      </w:r>
      <w:r>
        <w:rPr>
          <w:rFonts w:hint="eastAsia" w:ascii="仿宋" w:hAnsi="仿宋" w:eastAsia="仿宋" w:cs="仿宋"/>
          <w:color w:val="auto"/>
          <w:sz w:val="24"/>
          <w:szCs w:val="24"/>
        </w:rPr>
        <w:t>项规定</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任何一种情形。</w:t>
      </w:r>
    </w:p>
    <w:p w14:paraId="55AAF0D7">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9.</w:t>
      </w:r>
      <w:r>
        <w:rPr>
          <w:rFonts w:hint="eastAsia" w:ascii="仿宋" w:hAnsi="仿宋" w:eastAsia="仿宋" w:cs="仿宋"/>
          <w:color w:val="auto"/>
          <w:sz w:val="24"/>
          <w:szCs w:val="24"/>
          <w:u w:val="single"/>
        </w:rPr>
        <w:t xml:space="preserve">                    </w:t>
      </w:r>
      <w:r>
        <w:rPr>
          <w:rFonts w:hint="eastAsia" w:ascii="仿宋" w:hAnsi="仿宋" w:eastAsia="仿宋" w:cs="仿宋"/>
          <w:snapToGrid w:val="0"/>
          <w:color w:val="auto"/>
          <w:sz w:val="24"/>
          <w:szCs w:val="24"/>
        </w:rPr>
        <w:t>（其他补充承诺）。</w:t>
      </w:r>
    </w:p>
    <w:p w14:paraId="756675EE">
      <w:pPr>
        <w:spacing w:line="360" w:lineRule="auto"/>
        <w:ind w:firstLine="480" w:firstLineChars="200"/>
        <w:rPr>
          <w:rFonts w:hint="eastAsia" w:ascii="仿宋" w:hAnsi="仿宋" w:eastAsia="仿宋" w:cs="仿宋"/>
          <w:color w:val="auto"/>
          <w:sz w:val="24"/>
          <w:szCs w:val="24"/>
        </w:rPr>
      </w:pPr>
    </w:p>
    <w:p w14:paraId="02C5F1EC">
      <w:pPr>
        <w:spacing w:line="360" w:lineRule="auto"/>
        <w:ind w:firstLine="480" w:firstLineChars="200"/>
        <w:rPr>
          <w:rFonts w:hint="eastAsia" w:ascii="仿宋" w:hAnsi="仿宋" w:eastAsia="仿宋" w:cs="仿宋"/>
          <w:color w:val="auto"/>
          <w:sz w:val="24"/>
          <w:szCs w:val="24"/>
        </w:rPr>
      </w:pPr>
    </w:p>
    <w:p w14:paraId="4F129670">
      <w:pPr>
        <w:spacing w:line="44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color w:val="000000"/>
          <w:sz w:val="24"/>
          <w:szCs w:val="24"/>
        </w:rPr>
        <w:t>（盖单位章）</w:t>
      </w:r>
    </w:p>
    <w:p w14:paraId="671D17A0">
      <w:pPr>
        <w:spacing w:line="440" w:lineRule="exact"/>
        <w:ind w:firstLine="1680" w:firstLineChars="700"/>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color w:val="000000"/>
          <w:sz w:val="24"/>
          <w:szCs w:val="24"/>
        </w:rPr>
        <w:t>（签字）</w:t>
      </w:r>
    </w:p>
    <w:p w14:paraId="4DD87F6D">
      <w:pPr>
        <w:spacing w:line="44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p>
    <w:p w14:paraId="71437F5F">
      <w:pPr>
        <w:spacing w:line="44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color w:val="000000"/>
          <w:sz w:val="24"/>
          <w:szCs w:val="24"/>
        </w:rPr>
        <w:t>（签字）</w:t>
      </w:r>
    </w:p>
    <w:p w14:paraId="5565C152">
      <w:pPr>
        <w:spacing w:line="440" w:lineRule="exact"/>
        <w:ind w:firstLine="1680" w:firstLineChars="7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p w14:paraId="7635A326">
      <w:pPr>
        <w:spacing w:line="440" w:lineRule="exact"/>
        <w:ind w:firstLine="3076" w:firstLineChars="1282"/>
        <w:rPr>
          <w:rFonts w:hint="eastAsia" w:ascii="仿宋" w:hAnsi="仿宋" w:eastAsia="仿宋" w:cs="仿宋"/>
          <w:color w:val="000000"/>
          <w:sz w:val="24"/>
          <w:szCs w:val="24"/>
        </w:rPr>
      </w:pPr>
    </w:p>
    <w:p w14:paraId="5ADFA532">
      <w:pPr>
        <w:spacing w:line="440" w:lineRule="exact"/>
        <w:ind w:firstLine="3076" w:firstLineChars="1282"/>
        <w:rPr>
          <w:rFonts w:hint="eastAsia" w:ascii="仿宋" w:hAnsi="仿宋" w:eastAsia="仿宋" w:cs="仿宋"/>
          <w:color w:val="000000"/>
          <w:sz w:val="24"/>
          <w:szCs w:val="24"/>
        </w:rPr>
      </w:pPr>
    </w:p>
    <w:p w14:paraId="3D8CD895">
      <w:pPr>
        <w:adjustRightInd w:val="0"/>
        <w:snapToGrid w:val="0"/>
        <w:spacing w:line="360" w:lineRule="auto"/>
        <w:jc w:val="right"/>
        <w:rPr>
          <w:rFonts w:hint="eastAsia" w:ascii="仿宋" w:hAnsi="仿宋" w:eastAsia="仿宋" w:cs="仿宋"/>
          <w:color w:val="000000"/>
          <w:sz w:val="24"/>
          <w:szCs w:val="24"/>
        </w:rPr>
      </w:pP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w:t>
      </w:r>
    </w:p>
    <w:p w14:paraId="47C7572B">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1D334610">
      <w:pPr>
        <w:rPr>
          <w:rFonts w:hint="eastAsia" w:ascii="仿宋" w:hAnsi="仿宋" w:eastAsia="仿宋" w:cs="仿宋"/>
          <w:color w:val="000000"/>
        </w:rPr>
      </w:pPr>
    </w:p>
    <w:bookmarkEnd w:id="624"/>
    <w:bookmarkEnd w:id="625"/>
    <w:p w14:paraId="0186DEB1">
      <w:pPr>
        <w:pStyle w:val="3"/>
        <w:bidi w:val="0"/>
        <w:jc w:val="center"/>
        <w:rPr>
          <w:rFonts w:hint="eastAsia" w:ascii="仿宋" w:hAnsi="仿宋" w:eastAsia="仿宋" w:cs="仿宋"/>
          <w:color w:val="000000"/>
          <w:sz w:val="32"/>
          <w:szCs w:val="32"/>
        </w:rPr>
      </w:pPr>
      <w:bookmarkStart w:id="658" w:name="_Toc151393528"/>
      <w:bookmarkStart w:id="659" w:name="_Toc3804"/>
      <w:bookmarkStart w:id="660" w:name="_Toc24286"/>
      <w:bookmarkStart w:id="661" w:name="_Toc9028"/>
      <w:bookmarkStart w:id="662" w:name="_Toc2377"/>
      <w:bookmarkStart w:id="663" w:name="_Toc17783"/>
      <w:bookmarkStart w:id="664" w:name="_Toc32268"/>
      <w:bookmarkStart w:id="665" w:name="_Toc2364"/>
      <w:bookmarkStart w:id="666" w:name="_Toc501460803"/>
      <w:r>
        <w:rPr>
          <w:rFonts w:hint="eastAsia" w:ascii="仿宋" w:hAnsi="仿宋" w:eastAsia="仿宋" w:cs="仿宋"/>
          <w:sz w:val="32"/>
          <w:szCs w:val="32"/>
        </w:rPr>
        <w:t>八、</w:t>
      </w:r>
      <w:bookmarkEnd w:id="658"/>
      <w:bookmarkEnd w:id="659"/>
      <w:bookmarkEnd w:id="660"/>
      <w:bookmarkEnd w:id="661"/>
      <w:bookmarkEnd w:id="662"/>
      <w:r>
        <w:rPr>
          <w:rFonts w:hint="eastAsia" w:ascii="仿宋" w:hAnsi="仿宋" w:eastAsia="仿宋" w:cs="仿宋"/>
          <w:color w:val="000000"/>
          <w:sz w:val="32"/>
          <w:szCs w:val="32"/>
        </w:rPr>
        <w:t>服务方案</w:t>
      </w:r>
      <w:bookmarkEnd w:id="663"/>
      <w:bookmarkEnd w:id="664"/>
      <w:bookmarkEnd w:id="665"/>
    </w:p>
    <w:p w14:paraId="561F43DE">
      <w:pPr>
        <w:pStyle w:val="4"/>
        <w:spacing w:before="20" w:after="0"/>
        <w:ind w:firstLine="137"/>
        <w:jc w:val="center"/>
        <w:outlineLvl w:val="9"/>
        <w:rPr>
          <w:rFonts w:hint="eastAsia" w:ascii="仿宋" w:hAnsi="仿宋" w:eastAsia="仿宋" w:cs="仿宋"/>
        </w:rPr>
      </w:pPr>
    </w:p>
    <w:p w14:paraId="3F34E8CD">
      <w:pPr>
        <w:spacing w:line="400" w:lineRule="exact"/>
        <w:ind w:firstLine="420" w:firstLineChars="200"/>
        <w:rPr>
          <w:rFonts w:hint="eastAsia" w:ascii="仿宋" w:hAnsi="仿宋" w:eastAsia="仿宋" w:cs="仿宋"/>
        </w:rPr>
      </w:pPr>
      <w:r>
        <w:rPr>
          <w:rFonts w:hint="eastAsia" w:ascii="仿宋" w:hAnsi="仿宋" w:eastAsia="仿宋" w:cs="仿宋"/>
        </w:rPr>
        <w:br w:type="page"/>
      </w:r>
      <w:bookmarkEnd w:id="666"/>
    </w:p>
    <w:p w14:paraId="25F226C3">
      <w:pPr>
        <w:pStyle w:val="3"/>
        <w:spacing w:line="400" w:lineRule="exact"/>
        <w:jc w:val="center"/>
        <w:rPr>
          <w:rFonts w:hint="eastAsia" w:ascii="仿宋" w:hAnsi="仿宋" w:eastAsia="仿宋" w:cs="仿宋"/>
        </w:rPr>
      </w:pPr>
      <w:bookmarkStart w:id="667" w:name="_Toc10662"/>
      <w:bookmarkStart w:id="668" w:name="_Toc1773"/>
      <w:r>
        <w:rPr>
          <w:rFonts w:hint="eastAsia" w:ascii="仿宋" w:hAnsi="仿宋" w:eastAsia="仿宋" w:cs="仿宋"/>
        </w:rPr>
        <w:t>九、其他资料</w:t>
      </w:r>
      <w:bookmarkEnd w:id="667"/>
      <w:bookmarkEnd w:id="668"/>
    </w:p>
    <w:p w14:paraId="5325906D">
      <w:pPr>
        <w:rPr>
          <w:rFonts w:hint="eastAsia" w:ascii="仿宋" w:hAnsi="仿宋" w:eastAsia="仿宋" w:cs="仿宋"/>
        </w:rPr>
      </w:pPr>
    </w:p>
    <w:p w14:paraId="1450145F">
      <w:pPr>
        <w:pStyle w:val="11"/>
        <w:rPr>
          <w:rFonts w:hint="eastAsia" w:ascii="仿宋" w:hAnsi="仿宋" w:eastAsia="仿宋" w:cs="仿宋"/>
        </w:rPr>
      </w:pPr>
      <w:r>
        <w:rPr>
          <w:rFonts w:hint="eastAsia" w:ascii="仿宋" w:hAnsi="仿宋" w:eastAsia="仿宋" w:cs="仿宋"/>
        </w:rPr>
        <w:t>供应商需递交的其他资料。</w:t>
      </w:r>
    </w:p>
    <w:p w14:paraId="7881CEE1">
      <w:pPr>
        <w:pStyle w:val="11"/>
        <w:rPr>
          <w:rFonts w:hint="eastAsia" w:ascii="仿宋" w:hAnsi="仿宋" w:eastAsia="仿宋" w:cs="仿宋"/>
        </w:rPr>
      </w:pPr>
    </w:p>
    <w:sectPr>
      <w:type w:val="continuous"/>
      <w:pgSz w:w="12240" w:h="15840"/>
      <w:pgMar w:top="1440" w:right="1803" w:bottom="1440" w:left="1803" w:header="720" w:footer="720" w:gutter="0"/>
      <w:cols w:space="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93E5">
    <w:pPr>
      <w:pStyle w:val="19"/>
      <w:jc w:val="center"/>
    </w:pPr>
    <w:r>
      <w:fldChar w:fldCharType="begin"/>
    </w:r>
    <w:r>
      <w:instrText xml:space="preserve"> PAGE   \* MERGEFORMAT </w:instrText>
    </w:r>
    <w:r>
      <w:fldChar w:fldCharType="separate"/>
    </w:r>
    <w:r>
      <w:rPr>
        <w:lang w:val="zh-CN"/>
      </w:rPr>
      <w:t>56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A3D">
    <w:pPr>
      <w:pStyle w:val="19"/>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508CC"/>
    <w:multiLevelType w:val="singleLevel"/>
    <w:tmpl w:val="8A3508CC"/>
    <w:lvl w:ilvl="0" w:tentative="0">
      <w:start w:val="1"/>
      <w:numFmt w:val="decimal"/>
      <w:suff w:val="space"/>
      <w:lvlText w:val="%1."/>
      <w:lvlJc w:val="left"/>
    </w:lvl>
  </w:abstractNum>
  <w:abstractNum w:abstractNumId="1">
    <w:nsid w:val="CD7CA6A8"/>
    <w:multiLevelType w:val="singleLevel"/>
    <w:tmpl w:val="CD7CA6A8"/>
    <w:lvl w:ilvl="0" w:tentative="0">
      <w:start w:val="1"/>
      <w:numFmt w:val="chineseCounting"/>
      <w:suff w:val="nothing"/>
      <w:lvlText w:val="%1、"/>
      <w:lvlJc w:val="left"/>
      <w:rPr>
        <w:rFonts w:hint="eastAsia"/>
        <w:color w:val="000000"/>
      </w:rPr>
    </w:lvl>
  </w:abstractNum>
  <w:abstractNum w:abstractNumId="2">
    <w:nsid w:val="E5B120DE"/>
    <w:multiLevelType w:val="multilevel"/>
    <w:tmpl w:val="E5B120DE"/>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0" w:leftChars="0" w:firstLine="0" w:firstLineChars="0"/>
      </w:pPr>
      <w:rPr>
        <w:rFonts w:hint="default" w:ascii="仿宋" w:hAnsi="仿宋" w:eastAsia="仿宋" w:cs="仿宋"/>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ZWY5YTRiNjUyOGY0NGQ4NjBlZDczYzUzYzRkOTYifQ=="/>
  </w:docVars>
  <w:rsids>
    <w:rsidRoot w:val="00172A27"/>
    <w:rsid w:val="00000DA4"/>
    <w:rsid w:val="00002A60"/>
    <w:rsid w:val="00003391"/>
    <w:rsid w:val="00004603"/>
    <w:rsid w:val="000049FE"/>
    <w:rsid w:val="00007319"/>
    <w:rsid w:val="000106AE"/>
    <w:rsid w:val="00010B53"/>
    <w:rsid w:val="0001111F"/>
    <w:rsid w:val="00011B6F"/>
    <w:rsid w:val="00011F85"/>
    <w:rsid w:val="000122C9"/>
    <w:rsid w:val="00012703"/>
    <w:rsid w:val="0001485E"/>
    <w:rsid w:val="00014D4E"/>
    <w:rsid w:val="0002193F"/>
    <w:rsid w:val="00021BFE"/>
    <w:rsid w:val="0002369F"/>
    <w:rsid w:val="000250D6"/>
    <w:rsid w:val="00025ACC"/>
    <w:rsid w:val="00025EC4"/>
    <w:rsid w:val="00026171"/>
    <w:rsid w:val="00027C97"/>
    <w:rsid w:val="000303E1"/>
    <w:rsid w:val="000317DA"/>
    <w:rsid w:val="00033C1C"/>
    <w:rsid w:val="000351AE"/>
    <w:rsid w:val="000352F4"/>
    <w:rsid w:val="00036515"/>
    <w:rsid w:val="00036A67"/>
    <w:rsid w:val="00043778"/>
    <w:rsid w:val="00043A3B"/>
    <w:rsid w:val="000442E6"/>
    <w:rsid w:val="000465F5"/>
    <w:rsid w:val="00046F0D"/>
    <w:rsid w:val="000477B3"/>
    <w:rsid w:val="0004782B"/>
    <w:rsid w:val="00050340"/>
    <w:rsid w:val="00050D09"/>
    <w:rsid w:val="00051718"/>
    <w:rsid w:val="00051E22"/>
    <w:rsid w:val="000533D5"/>
    <w:rsid w:val="00054896"/>
    <w:rsid w:val="00056461"/>
    <w:rsid w:val="00056867"/>
    <w:rsid w:val="00060236"/>
    <w:rsid w:val="00062AC6"/>
    <w:rsid w:val="00062E7E"/>
    <w:rsid w:val="00067035"/>
    <w:rsid w:val="0007092F"/>
    <w:rsid w:val="00071FA8"/>
    <w:rsid w:val="0007517C"/>
    <w:rsid w:val="0008132B"/>
    <w:rsid w:val="00081360"/>
    <w:rsid w:val="0008253E"/>
    <w:rsid w:val="00083B57"/>
    <w:rsid w:val="00083EA3"/>
    <w:rsid w:val="000841EF"/>
    <w:rsid w:val="000846D4"/>
    <w:rsid w:val="00086570"/>
    <w:rsid w:val="000943B0"/>
    <w:rsid w:val="000945DD"/>
    <w:rsid w:val="00094C66"/>
    <w:rsid w:val="00094FFC"/>
    <w:rsid w:val="000956C5"/>
    <w:rsid w:val="0009599B"/>
    <w:rsid w:val="000A1201"/>
    <w:rsid w:val="000A1391"/>
    <w:rsid w:val="000A287B"/>
    <w:rsid w:val="000A2A1A"/>
    <w:rsid w:val="000A5C81"/>
    <w:rsid w:val="000A6F04"/>
    <w:rsid w:val="000A7438"/>
    <w:rsid w:val="000A76B3"/>
    <w:rsid w:val="000B2017"/>
    <w:rsid w:val="000B308D"/>
    <w:rsid w:val="000B37D6"/>
    <w:rsid w:val="000B6297"/>
    <w:rsid w:val="000B65E2"/>
    <w:rsid w:val="000B7A8D"/>
    <w:rsid w:val="000C0018"/>
    <w:rsid w:val="000C00CE"/>
    <w:rsid w:val="000C0819"/>
    <w:rsid w:val="000C1A9B"/>
    <w:rsid w:val="000C2AB5"/>
    <w:rsid w:val="000C4710"/>
    <w:rsid w:val="000C5A9F"/>
    <w:rsid w:val="000D174A"/>
    <w:rsid w:val="000D3A5C"/>
    <w:rsid w:val="000D4336"/>
    <w:rsid w:val="000D49B4"/>
    <w:rsid w:val="000D4E08"/>
    <w:rsid w:val="000D633A"/>
    <w:rsid w:val="000D6BE3"/>
    <w:rsid w:val="000E08CB"/>
    <w:rsid w:val="000E0C9F"/>
    <w:rsid w:val="000E1388"/>
    <w:rsid w:val="000E5673"/>
    <w:rsid w:val="000F2186"/>
    <w:rsid w:val="000F2A12"/>
    <w:rsid w:val="000F2ECC"/>
    <w:rsid w:val="000F50B4"/>
    <w:rsid w:val="000F6666"/>
    <w:rsid w:val="001001A3"/>
    <w:rsid w:val="001011FC"/>
    <w:rsid w:val="00102618"/>
    <w:rsid w:val="00105423"/>
    <w:rsid w:val="00105B4A"/>
    <w:rsid w:val="00107C36"/>
    <w:rsid w:val="001119B6"/>
    <w:rsid w:val="00111D77"/>
    <w:rsid w:val="00114EFC"/>
    <w:rsid w:val="00115124"/>
    <w:rsid w:val="00115848"/>
    <w:rsid w:val="0011701D"/>
    <w:rsid w:val="00117443"/>
    <w:rsid w:val="00117F0F"/>
    <w:rsid w:val="001243AF"/>
    <w:rsid w:val="00126A2D"/>
    <w:rsid w:val="00130D79"/>
    <w:rsid w:val="0013146C"/>
    <w:rsid w:val="001351ED"/>
    <w:rsid w:val="0014098E"/>
    <w:rsid w:val="00143135"/>
    <w:rsid w:val="001528CC"/>
    <w:rsid w:val="001530C6"/>
    <w:rsid w:val="00153B32"/>
    <w:rsid w:val="0015590F"/>
    <w:rsid w:val="0016040A"/>
    <w:rsid w:val="001605AA"/>
    <w:rsid w:val="001613DD"/>
    <w:rsid w:val="001618B1"/>
    <w:rsid w:val="001658EF"/>
    <w:rsid w:val="00166088"/>
    <w:rsid w:val="00172A27"/>
    <w:rsid w:val="001735B4"/>
    <w:rsid w:val="00173EF7"/>
    <w:rsid w:val="001748A3"/>
    <w:rsid w:val="00175F7A"/>
    <w:rsid w:val="00180101"/>
    <w:rsid w:val="00182B11"/>
    <w:rsid w:val="00183B4A"/>
    <w:rsid w:val="00184453"/>
    <w:rsid w:val="00184D80"/>
    <w:rsid w:val="00185763"/>
    <w:rsid w:val="00192979"/>
    <w:rsid w:val="00193C1D"/>
    <w:rsid w:val="00195B7E"/>
    <w:rsid w:val="001964D2"/>
    <w:rsid w:val="00196869"/>
    <w:rsid w:val="0019797B"/>
    <w:rsid w:val="00197AD8"/>
    <w:rsid w:val="001A093D"/>
    <w:rsid w:val="001A0CCF"/>
    <w:rsid w:val="001A1AF1"/>
    <w:rsid w:val="001A2B51"/>
    <w:rsid w:val="001A2E05"/>
    <w:rsid w:val="001A2F7E"/>
    <w:rsid w:val="001A4491"/>
    <w:rsid w:val="001A4684"/>
    <w:rsid w:val="001B10BD"/>
    <w:rsid w:val="001B7FEF"/>
    <w:rsid w:val="001C06B6"/>
    <w:rsid w:val="001C298A"/>
    <w:rsid w:val="001C30C7"/>
    <w:rsid w:val="001C38D5"/>
    <w:rsid w:val="001C3F83"/>
    <w:rsid w:val="001C47DE"/>
    <w:rsid w:val="001C6230"/>
    <w:rsid w:val="001C7366"/>
    <w:rsid w:val="001D055E"/>
    <w:rsid w:val="001D1D28"/>
    <w:rsid w:val="001D4A29"/>
    <w:rsid w:val="001E1433"/>
    <w:rsid w:val="001E2D03"/>
    <w:rsid w:val="001E48A1"/>
    <w:rsid w:val="001E6637"/>
    <w:rsid w:val="001F2208"/>
    <w:rsid w:val="001F4134"/>
    <w:rsid w:val="001F45EE"/>
    <w:rsid w:val="001F4850"/>
    <w:rsid w:val="001F5634"/>
    <w:rsid w:val="001F5A6B"/>
    <w:rsid w:val="00200B25"/>
    <w:rsid w:val="0020220D"/>
    <w:rsid w:val="00204259"/>
    <w:rsid w:val="00204A5C"/>
    <w:rsid w:val="0020605E"/>
    <w:rsid w:val="00206463"/>
    <w:rsid w:val="00207A0B"/>
    <w:rsid w:val="00211842"/>
    <w:rsid w:val="00212A53"/>
    <w:rsid w:val="0021322F"/>
    <w:rsid w:val="00213B90"/>
    <w:rsid w:val="00215765"/>
    <w:rsid w:val="00215AF0"/>
    <w:rsid w:val="00215D24"/>
    <w:rsid w:val="00217AB9"/>
    <w:rsid w:val="0022140E"/>
    <w:rsid w:val="002229E2"/>
    <w:rsid w:val="0022434B"/>
    <w:rsid w:val="002256F6"/>
    <w:rsid w:val="00227E7E"/>
    <w:rsid w:val="00230081"/>
    <w:rsid w:val="00232CDE"/>
    <w:rsid w:val="0023423F"/>
    <w:rsid w:val="002346AC"/>
    <w:rsid w:val="0023579F"/>
    <w:rsid w:val="002360E7"/>
    <w:rsid w:val="00236570"/>
    <w:rsid w:val="00237422"/>
    <w:rsid w:val="00237B0E"/>
    <w:rsid w:val="00240884"/>
    <w:rsid w:val="00241EE0"/>
    <w:rsid w:val="002430C2"/>
    <w:rsid w:val="0024468E"/>
    <w:rsid w:val="00250519"/>
    <w:rsid w:val="00251109"/>
    <w:rsid w:val="00251A49"/>
    <w:rsid w:val="002524EF"/>
    <w:rsid w:val="0025460A"/>
    <w:rsid w:val="00255C9B"/>
    <w:rsid w:val="00255D0D"/>
    <w:rsid w:val="00256F42"/>
    <w:rsid w:val="0026045C"/>
    <w:rsid w:val="00260650"/>
    <w:rsid w:val="00260B7B"/>
    <w:rsid w:val="00260C77"/>
    <w:rsid w:val="00261352"/>
    <w:rsid w:val="002617D5"/>
    <w:rsid w:val="00263947"/>
    <w:rsid w:val="00263F0B"/>
    <w:rsid w:val="00264CEC"/>
    <w:rsid w:val="00264E3B"/>
    <w:rsid w:val="00264EB1"/>
    <w:rsid w:val="0026524D"/>
    <w:rsid w:val="00265A8B"/>
    <w:rsid w:val="002707AB"/>
    <w:rsid w:val="0027148F"/>
    <w:rsid w:val="002718DC"/>
    <w:rsid w:val="002733D4"/>
    <w:rsid w:val="00273E0A"/>
    <w:rsid w:val="002751CF"/>
    <w:rsid w:val="00276C71"/>
    <w:rsid w:val="0027764B"/>
    <w:rsid w:val="00281526"/>
    <w:rsid w:val="00281E0E"/>
    <w:rsid w:val="00282FB1"/>
    <w:rsid w:val="00285406"/>
    <w:rsid w:val="00285F17"/>
    <w:rsid w:val="00286C1A"/>
    <w:rsid w:val="00287666"/>
    <w:rsid w:val="00291BE9"/>
    <w:rsid w:val="0029287A"/>
    <w:rsid w:val="00294405"/>
    <w:rsid w:val="002A1233"/>
    <w:rsid w:val="002A552C"/>
    <w:rsid w:val="002A65ED"/>
    <w:rsid w:val="002B0537"/>
    <w:rsid w:val="002B2D21"/>
    <w:rsid w:val="002B7AC0"/>
    <w:rsid w:val="002C0C29"/>
    <w:rsid w:val="002C4B9C"/>
    <w:rsid w:val="002C51BB"/>
    <w:rsid w:val="002C688F"/>
    <w:rsid w:val="002C7B9B"/>
    <w:rsid w:val="002D2B90"/>
    <w:rsid w:val="002D3451"/>
    <w:rsid w:val="002D458D"/>
    <w:rsid w:val="002D6F32"/>
    <w:rsid w:val="002E0561"/>
    <w:rsid w:val="002E146B"/>
    <w:rsid w:val="002E1DAC"/>
    <w:rsid w:val="002E357F"/>
    <w:rsid w:val="002E37E9"/>
    <w:rsid w:val="002E602B"/>
    <w:rsid w:val="002E6D05"/>
    <w:rsid w:val="002F0F43"/>
    <w:rsid w:val="002F1898"/>
    <w:rsid w:val="002F1EE0"/>
    <w:rsid w:val="002F4E05"/>
    <w:rsid w:val="002F72A0"/>
    <w:rsid w:val="00302940"/>
    <w:rsid w:val="00303961"/>
    <w:rsid w:val="0030445C"/>
    <w:rsid w:val="00305F01"/>
    <w:rsid w:val="00306D86"/>
    <w:rsid w:val="00307657"/>
    <w:rsid w:val="003076D1"/>
    <w:rsid w:val="0031111C"/>
    <w:rsid w:val="00311324"/>
    <w:rsid w:val="00311D51"/>
    <w:rsid w:val="003122C4"/>
    <w:rsid w:val="00312B95"/>
    <w:rsid w:val="00314103"/>
    <w:rsid w:val="003147FA"/>
    <w:rsid w:val="00314C76"/>
    <w:rsid w:val="00316F8B"/>
    <w:rsid w:val="00317712"/>
    <w:rsid w:val="0032031D"/>
    <w:rsid w:val="00320467"/>
    <w:rsid w:val="00321647"/>
    <w:rsid w:val="00321989"/>
    <w:rsid w:val="003243EC"/>
    <w:rsid w:val="003247CD"/>
    <w:rsid w:val="003254CF"/>
    <w:rsid w:val="00330A66"/>
    <w:rsid w:val="00332F9A"/>
    <w:rsid w:val="00335C80"/>
    <w:rsid w:val="003362AD"/>
    <w:rsid w:val="003369D4"/>
    <w:rsid w:val="0033761D"/>
    <w:rsid w:val="00337CAE"/>
    <w:rsid w:val="00341528"/>
    <w:rsid w:val="00342688"/>
    <w:rsid w:val="0034440E"/>
    <w:rsid w:val="003447B0"/>
    <w:rsid w:val="00345CFE"/>
    <w:rsid w:val="003467E6"/>
    <w:rsid w:val="00347899"/>
    <w:rsid w:val="003478BA"/>
    <w:rsid w:val="003518D6"/>
    <w:rsid w:val="003533B0"/>
    <w:rsid w:val="00354B7A"/>
    <w:rsid w:val="00360B10"/>
    <w:rsid w:val="00360D54"/>
    <w:rsid w:val="00361C71"/>
    <w:rsid w:val="0036214F"/>
    <w:rsid w:val="003628CD"/>
    <w:rsid w:val="00363177"/>
    <w:rsid w:val="00363966"/>
    <w:rsid w:val="00365EDA"/>
    <w:rsid w:val="00366867"/>
    <w:rsid w:val="00372BB2"/>
    <w:rsid w:val="00373178"/>
    <w:rsid w:val="00373AAA"/>
    <w:rsid w:val="003741B0"/>
    <w:rsid w:val="00375DD7"/>
    <w:rsid w:val="0038072B"/>
    <w:rsid w:val="0038240C"/>
    <w:rsid w:val="0038359A"/>
    <w:rsid w:val="003839BF"/>
    <w:rsid w:val="0038704D"/>
    <w:rsid w:val="003876BB"/>
    <w:rsid w:val="00387996"/>
    <w:rsid w:val="00390CD0"/>
    <w:rsid w:val="00391F03"/>
    <w:rsid w:val="0039343C"/>
    <w:rsid w:val="003A0068"/>
    <w:rsid w:val="003A2368"/>
    <w:rsid w:val="003A3829"/>
    <w:rsid w:val="003A3F98"/>
    <w:rsid w:val="003A563B"/>
    <w:rsid w:val="003A5B10"/>
    <w:rsid w:val="003A6775"/>
    <w:rsid w:val="003B2B82"/>
    <w:rsid w:val="003B3719"/>
    <w:rsid w:val="003B41C4"/>
    <w:rsid w:val="003B7DD1"/>
    <w:rsid w:val="003C0704"/>
    <w:rsid w:val="003C0D7D"/>
    <w:rsid w:val="003C163E"/>
    <w:rsid w:val="003C3469"/>
    <w:rsid w:val="003C4858"/>
    <w:rsid w:val="003C5BB3"/>
    <w:rsid w:val="003C5EED"/>
    <w:rsid w:val="003C663D"/>
    <w:rsid w:val="003C7688"/>
    <w:rsid w:val="003D1170"/>
    <w:rsid w:val="003D1B8E"/>
    <w:rsid w:val="003D2D72"/>
    <w:rsid w:val="003D36EE"/>
    <w:rsid w:val="003D515C"/>
    <w:rsid w:val="003D6E0A"/>
    <w:rsid w:val="003D6EB6"/>
    <w:rsid w:val="003E114D"/>
    <w:rsid w:val="003E5347"/>
    <w:rsid w:val="003F18FD"/>
    <w:rsid w:val="003F1CDB"/>
    <w:rsid w:val="003F1FBD"/>
    <w:rsid w:val="003F3518"/>
    <w:rsid w:val="003F504F"/>
    <w:rsid w:val="003F5B69"/>
    <w:rsid w:val="004006C9"/>
    <w:rsid w:val="004009FD"/>
    <w:rsid w:val="00403934"/>
    <w:rsid w:val="004062B6"/>
    <w:rsid w:val="004105EF"/>
    <w:rsid w:val="0041115C"/>
    <w:rsid w:val="00411574"/>
    <w:rsid w:val="00412501"/>
    <w:rsid w:val="004125A8"/>
    <w:rsid w:val="004138B6"/>
    <w:rsid w:val="00413A55"/>
    <w:rsid w:val="00415A1A"/>
    <w:rsid w:val="0042017A"/>
    <w:rsid w:val="0042326A"/>
    <w:rsid w:val="00423F96"/>
    <w:rsid w:val="0042619D"/>
    <w:rsid w:val="00427AD3"/>
    <w:rsid w:val="00430583"/>
    <w:rsid w:val="004315A2"/>
    <w:rsid w:val="00431F4F"/>
    <w:rsid w:val="0043351E"/>
    <w:rsid w:val="00433676"/>
    <w:rsid w:val="004343BE"/>
    <w:rsid w:val="00435EFF"/>
    <w:rsid w:val="00436504"/>
    <w:rsid w:val="00436C0E"/>
    <w:rsid w:val="004405C7"/>
    <w:rsid w:val="00441D39"/>
    <w:rsid w:val="0044250A"/>
    <w:rsid w:val="00442AF8"/>
    <w:rsid w:val="00445120"/>
    <w:rsid w:val="0044514A"/>
    <w:rsid w:val="00447E59"/>
    <w:rsid w:val="00450DB7"/>
    <w:rsid w:val="00452F57"/>
    <w:rsid w:val="00455668"/>
    <w:rsid w:val="004575C8"/>
    <w:rsid w:val="004579D9"/>
    <w:rsid w:val="00457DC2"/>
    <w:rsid w:val="0046206C"/>
    <w:rsid w:val="00464927"/>
    <w:rsid w:val="00465378"/>
    <w:rsid w:val="00466A71"/>
    <w:rsid w:val="00466C94"/>
    <w:rsid w:val="00467CC6"/>
    <w:rsid w:val="004733D3"/>
    <w:rsid w:val="0047355E"/>
    <w:rsid w:val="00473597"/>
    <w:rsid w:val="00473AAF"/>
    <w:rsid w:val="0048596D"/>
    <w:rsid w:val="00486461"/>
    <w:rsid w:val="00487315"/>
    <w:rsid w:val="004903F0"/>
    <w:rsid w:val="004910DF"/>
    <w:rsid w:val="00491CF8"/>
    <w:rsid w:val="00493F74"/>
    <w:rsid w:val="00494624"/>
    <w:rsid w:val="00495001"/>
    <w:rsid w:val="004958B6"/>
    <w:rsid w:val="00496A7E"/>
    <w:rsid w:val="00497371"/>
    <w:rsid w:val="004A112E"/>
    <w:rsid w:val="004A197D"/>
    <w:rsid w:val="004A221E"/>
    <w:rsid w:val="004A3F85"/>
    <w:rsid w:val="004A4145"/>
    <w:rsid w:val="004A4276"/>
    <w:rsid w:val="004A43F1"/>
    <w:rsid w:val="004A4A09"/>
    <w:rsid w:val="004A508E"/>
    <w:rsid w:val="004A5FF2"/>
    <w:rsid w:val="004A70D5"/>
    <w:rsid w:val="004A76F2"/>
    <w:rsid w:val="004B220E"/>
    <w:rsid w:val="004B3390"/>
    <w:rsid w:val="004B3B55"/>
    <w:rsid w:val="004B3E29"/>
    <w:rsid w:val="004B51E3"/>
    <w:rsid w:val="004B54E7"/>
    <w:rsid w:val="004B6ED7"/>
    <w:rsid w:val="004C16FA"/>
    <w:rsid w:val="004C3F9A"/>
    <w:rsid w:val="004C5020"/>
    <w:rsid w:val="004D0A15"/>
    <w:rsid w:val="004D0A89"/>
    <w:rsid w:val="004D1209"/>
    <w:rsid w:val="004D1CC7"/>
    <w:rsid w:val="004D1D26"/>
    <w:rsid w:val="004D3A49"/>
    <w:rsid w:val="004D4247"/>
    <w:rsid w:val="004D4F12"/>
    <w:rsid w:val="004D5623"/>
    <w:rsid w:val="004D7237"/>
    <w:rsid w:val="004D794D"/>
    <w:rsid w:val="004D7FCB"/>
    <w:rsid w:val="004E0C05"/>
    <w:rsid w:val="004E15C6"/>
    <w:rsid w:val="004E3473"/>
    <w:rsid w:val="004E54EB"/>
    <w:rsid w:val="004E78F5"/>
    <w:rsid w:val="004F0DB1"/>
    <w:rsid w:val="004F1425"/>
    <w:rsid w:val="004F20F0"/>
    <w:rsid w:val="004F278C"/>
    <w:rsid w:val="004F3309"/>
    <w:rsid w:val="004F39F7"/>
    <w:rsid w:val="005034E3"/>
    <w:rsid w:val="00503AB0"/>
    <w:rsid w:val="0050739A"/>
    <w:rsid w:val="00507F25"/>
    <w:rsid w:val="005100DC"/>
    <w:rsid w:val="00511660"/>
    <w:rsid w:val="00512A0D"/>
    <w:rsid w:val="00513F69"/>
    <w:rsid w:val="0051560B"/>
    <w:rsid w:val="00517A67"/>
    <w:rsid w:val="00517CCE"/>
    <w:rsid w:val="005212F7"/>
    <w:rsid w:val="0052194C"/>
    <w:rsid w:val="005229A0"/>
    <w:rsid w:val="00522D50"/>
    <w:rsid w:val="00524932"/>
    <w:rsid w:val="005251E7"/>
    <w:rsid w:val="00525E12"/>
    <w:rsid w:val="005272C3"/>
    <w:rsid w:val="005275D1"/>
    <w:rsid w:val="00527D92"/>
    <w:rsid w:val="00531AB3"/>
    <w:rsid w:val="00531BAF"/>
    <w:rsid w:val="00535573"/>
    <w:rsid w:val="00537234"/>
    <w:rsid w:val="00537781"/>
    <w:rsid w:val="005409DB"/>
    <w:rsid w:val="00540FB3"/>
    <w:rsid w:val="00542C62"/>
    <w:rsid w:val="00543007"/>
    <w:rsid w:val="00543076"/>
    <w:rsid w:val="00543F5F"/>
    <w:rsid w:val="00545698"/>
    <w:rsid w:val="00546149"/>
    <w:rsid w:val="0054730C"/>
    <w:rsid w:val="00547432"/>
    <w:rsid w:val="0055408A"/>
    <w:rsid w:val="00554AC7"/>
    <w:rsid w:val="00555089"/>
    <w:rsid w:val="005559D5"/>
    <w:rsid w:val="005565F1"/>
    <w:rsid w:val="00562259"/>
    <w:rsid w:val="005655BD"/>
    <w:rsid w:val="00565E6F"/>
    <w:rsid w:val="005661E1"/>
    <w:rsid w:val="00566E24"/>
    <w:rsid w:val="00570D4B"/>
    <w:rsid w:val="00571501"/>
    <w:rsid w:val="005723AB"/>
    <w:rsid w:val="00573B46"/>
    <w:rsid w:val="00573C8F"/>
    <w:rsid w:val="00574404"/>
    <w:rsid w:val="005745E0"/>
    <w:rsid w:val="00574712"/>
    <w:rsid w:val="00574F99"/>
    <w:rsid w:val="005754C4"/>
    <w:rsid w:val="00576B7B"/>
    <w:rsid w:val="00576C5E"/>
    <w:rsid w:val="00577C17"/>
    <w:rsid w:val="005804CC"/>
    <w:rsid w:val="00580957"/>
    <w:rsid w:val="005810F1"/>
    <w:rsid w:val="00581289"/>
    <w:rsid w:val="005817BC"/>
    <w:rsid w:val="005818B8"/>
    <w:rsid w:val="005824FB"/>
    <w:rsid w:val="00585BA6"/>
    <w:rsid w:val="00586955"/>
    <w:rsid w:val="005870EB"/>
    <w:rsid w:val="00587762"/>
    <w:rsid w:val="00592807"/>
    <w:rsid w:val="00592DCF"/>
    <w:rsid w:val="005955BA"/>
    <w:rsid w:val="00595FA0"/>
    <w:rsid w:val="00597C80"/>
    <w:rsid w:val="005A0B59"/>
    <w:rsid w:val="005A1CDE"/>
    <w:rsid w:val="005A212B"/>
    <w:rsid w:val="005A245A"/>
    <w:rsid w:val="005A2853"/>
    <w:rsid w:val="005A2C7B"/>
    <w:rsid w:val="005A3157"/>
    <w:rsid w:val="005A324A"/>
    <w:rsid w:val="005A7856"/>
    <w:rsid w:val="005B0F9A"/>
    <w:rsid w:val="005B1A42"/>
    <w:rsid w:val="005B27B2"/>
    <w:rsid w:val="005B3BBE"/>
    <w:rsid w:val="005B41F9"/>
    <w:rsid w:val="005B4DB1"/>
    <w:rsid w:val="005B53B5"/>
    <w:rsid w:val="005C162E"/>
    <w:rsid w:val="005C3294"/>
    <w:rsid w:val="005C417A"/>
    <w:rsid w:val="005C5030"/>
    <w:rsid w:val="005C54CF"/>
    <w:rsid w:val="005C7CC7"/>
    <w:rsid w:val="005D22FC"/>
    <w:rsid w:val="005D3D41"/>
    <w:rsid w:val="005D736F"/>
    <w:rsid w:val="005E018D"/>
    <w:rsid w:val="005E0827"/>
    <w:rsid w:val="005E15D1"/>
    <w:rsid w:val="005E4F70"/>
    <w:rsid w:val="005E52D1"/>
    <w:rsid w:val="005E6CD5"/>
    <w:rsid w:val="005E7962"/>
    <w:rsid w:val="005E7CE8"/>
    <w:rsid w:val="005E7EC7"/>
    <w:rsid w:val="005F162E"/>
    <w:rsid w:val="005F16C3"/>
    <w:rsid w:val="005F1B58"/>
    <w:rsid w:val="005F328B"/>
    <w:rsid w:val="005F3D2C"/>
    <w:rsid w:val="005F74F3"/>
    <w:rsid w:val="006041C3"/>
    <w:rsid w:val="006052FC"/>
    <w:rsid w:val="00605403"/>
    <w:rsid w:val="00605A28"/>
    <w:rsid w:val="00607629"/>
    <w:rsid w:val="00610BBF"/>
    <w:rsid w:val="006127AC"/>
    <w:rsid w:val="00613672"/>
    <w:rsid w:val="00613FB5"/>
    <w:rsid w:val="00614E98"/>
    <w:rsid w:val="00614EBD"/>
    <w:rsid w:val="006178D6"/>
    <w:rsid w:val="00620B9C"/>
    <w:rsid w:val="0062295C"/>
    <w:rsid w:val="0062323D"/>
    <w:rsid w:val="00623AD2"/>
    <w:rsid w:val="00623F73"/>
    <w:rsid w:val="006240AB"/>
    <w:rsid w:val="00627446"/>
    <w:rsid w:val="006300EA"/>
    <w:rsid w:val="00632B51"/>
    <w:rsid w:val="00633021"/>
    <w:rsid w:val="0063584F"/>
    <w:rsid w:val="00636962"/>
    <w:rsid w:val="00637781"/>
    <w:rsid w:val="00641920"/>
    <w:rsid w:val="00643B4D"/>
    <w:rsid w:val="00644C71"/>
    <w:rsid w:val="006462FA"/>
    <w:rsid w:val="006512A9"/>
    <w:rsid w:val="00651D65"/>
    <w:rsid w:val="00653F33"/>
    <w:rsid w:val="0065401F"/>
    <w:rsid w:val="00654756"/>
    <w:rsid w:val="0065767F"/>
    <w:rsid w:val="00660EBB"/>
    <w:rsid w:val="0066206B"/>
    <w:rsid w:val="00663CC5"/>
    <w:rsid w:val="00667942"/>
    <w:rsid w:val="00670660"/>
    <w:rsid w:val="006811B0"/>
    <w:rsid w:val="0068471E"/>
    <w:rsid w:val="00684D69"/>
    <w:rsid w:val="006857AD"/>
    <w:rsid w:val="00686AF3"/>
    <w:rsid w:val="00691F97"/>
    <w:rsid w:val="006928F3"/>
    <w:rsid w:val="00692DCA"/>
    <w:rsid w:val="006952F5"/>
    <w:rsid w:val="006A2E04"/>
    <w:rsid w:val="006A2F51"/>
    <w:rsid w:val="006A350C"/>
    <w:rsid w:val="006A5596"/>
    <w:rsid w:val="006B15E6"/>
    <w:rsid w:val="006B2167"/>
    <w:rsid w:val="006B229A"/>
    <w:rsid w:val="006B268E"/>
    <w:rsid w:val="006B317B"/>
    <w:rsid w:val="006B4620"/>
    <w:rsid w:val="006B58FD"/>
    <w:rsid w:val="006C05AD"/>
    <w:rsid w:val="006C1B42"/>
    <w:rsid w:val="006C2F62"/>
    <w:rsid w:val="006C45C7"/>
    <w:rsid w:val="006C5495"/>
    <w:rsid w:val="006C56C9"/>
    <w:rsid w:val="006D05E4"/>
    <w:rsid w:val="006D144F"/>
    <w:rsid w:val="006D4C52"/>
    <w:rsid w:val="006D567B"/>
    <w:rsid w:val="006D6D79"/>
    <w:rsid w:val="006E0B76"/>
    <w:rsid w:val="006E1A78"/>
    <w:rsid w:val="006E1CF0"/>
    <w:rsid w:val="006E2EB3"/>
    <w:rsid w:val="006E3EAB"/>
    <w:rsid w:val="006E4938"/>
    <w:rsid w:val="006E521B"/>
    <w:rsid w:val="006E5AC6"/>
    <w:rsid w:val="006E7789"/>
    <w:rsid w:val="006F2BB0"/>
    <w:rsid w:val="006F2EC0"/>
    <w:rsid w:val="006F30B4"/>
    <w:rsid w:val="006F3939"/>
    <w:rsid w:val="006F4607"/>
    <w:rsid w:val="006F46C3"/>
    <w:rsid w:val="006F5FB8"/>
    <w:rsid w:val="006F6CD6"/>
    <w:rsid w:val="006F6E12"/>
    <w:rsid w:val="00700762"/>
    <w:rsid w:val="00701A84"/>
    <w:rsid w:val="00705859"/>
    <w:rsid w:val="007058F5"/>
    <w:rsid w:val="00706041"/>
    <w:rsid w:val="00710D6C"/>
    <w:rsid w:val="00710D93"/>
    <w:rsid w:val="007123AF"/>
    <w:rsid w:val="00712A96"/>
    <w:rsid w:val="00716EE4"/>
    <w:rsid w:val="00721056"/>
    <w:rsid w:val="00722CDE"/>
    <w:rsid w:val="00722E71"/>
    <w:rsid w:val="00723AEF"/>
    <w:rsid w:val="00725C94"/>
    <w:rsid w:val="00725F00"/>
    <w:rsid w:val="00726A6C"/>
    <w:rsid w:val="00726B23"/>
    <w:rsid w:val="00726C76"/>
    <w:rsid w:val="00726DB7"/>
    <w:rsid w:val="00727E29"/>
    <w:rsid w:val="0073232D"/>
    <w:rsid w:val="00733083"/>
    <w:rsid w:val="007356EB"/>
    <w:rsid w:val="00735916"/>
    <w:rsid w:val="00740AE9"/>
    <w:rsid w:val="00742B21"/>
    <w:rsid w:val="00744517"/>
    <w:rsid w:val="007476CC"/>
    <w:rsid w:val="00750137"/>
    <w:rsid w:val="0075115C"/>
    <w:rsid w:val="007516C9"/>
    <w:rsid w:val="00752100"/>
    <w:rsid w:val="007538E9"/>
    <w:rsid w:val="00753921"/>
    <w:rsid w:val="00755157"/>
    <w:rsid w:val="007569B0"/>
    <w:rsid w:val="007604C3"/>
    <w:rsid w:val="0076115D"/>
    <w:rsid w:val="00762C99"/>
    <w:rsid w:val="00766147"/>
    <w:rsid w:val="00766DD4"/>
    <w:rsid w:val="00767CF8"/>
    <w:rsid w:val="00770518"/>
    <w:rsid w:val="00770C01"/>
    <w:rsid w:val="00771522"/>
    <w:rsid w:val="00772282"/>
    <w:rsid w:val="0077236D"/>
    <w:rsid w:val="007724D2"/>
    <w:rsid w:val="00772E30"/>
    <w:rsid w:val="00774C3B"/>
    <w:rsid w:val="007769FC"/>
    <w:rsid w:val="00780470"/>
    <w:rsid w:val="0078343C"/>
    <w:rsid w:val="0078582F"/>
    <w:rsid w:val="00787834"/>
    <w:rsid w:val="00790A94"/>
    <w:rsid w:val="007911B2"/>
    <w:rsid w:val="00797ACE"/>
    <w:rsid w:val="007A08F7"/>
    <w:rsid w:val="007A1E5B"/>
    <w:rsid w:val="007A27B2"/>
    <w:rsid w:val="007A3441"/>
    <w:rsid w:val="007A36C9"/>
    <w:rsid w:val="007A3C01"/>
    <w:rsid w:val="007A5188"/>
    <w:rsid w:val="007A6247"/>
    <w:rsid w:val="007A6512"/>
    <w:rsid w:val="007A67FD"/>
    <w:rsid w:val="007B0A87"/>
    <w:rsid w:val="007B2210"/>
    <w:rsid w:val="007B300E"/>
    <w:rsid w:val="007B3D71"/>
    <w:rsid w:val="007B5213"/>
    <w:rsid w:val="007B7DDF"/>
    <w:rsid w:val="007C292F"/>
    <w:rsid w:val="007C2AB0"/>
    <w:rsid w:val="007C3124"/>
    <w:rsid w:val="007C5B73"/>
    <w:rsid w:val="007C5DF5"/>
    <w:rsid w:val="007D07A2"/>
    <w:rsid w:val="007D16DC"/>
    <w:rsid w:val="007D29C2"/>
    <w:rsid w:val="007D36E9"/>
    <w:rsid w:val="007D3AAE"/>
    <w:rsid w:val="007D4C26"/>
    <w:rsid w:val="007D5CBB"/>
    <w:rsid w:val="007D6572"/>
    <w:rsid w:val="007D6983"/>
    <w:rsid w:val="007E0563"/>
    <w:rsid w:val="007E1033"/>
    <w:rsid w:val="007E1153"/>
    <w:rsid w:val="007E129F"/>
    <w:rsid w:val="007E1F8D"/>
    <w:rsid w:val="007E6590"/>
    <w:rsid w:val="007E6F41"/>
    <w:rsid w:val="007E78FD"/>
    <w:rsid w:val="007F24FF"/>
    <w:rsid w:val="007F2D92"/>
    <w:rsid w:val="007F33A5"/>
    <w:rsid w:val="007F61D6"/>
    <w:rsid w:val="007F67B4"/>
    <w:rsid w:val="007F6A96"/>
    <w:rsid w:val="008009B4"/>
    <w:rsid w:val="008016DA"/>
    <w:rsid w:val="00801CAA"/>
    <w:rsid w:val="00802B3E"/>
    <w:rsid w:val="00803D1B"/>
    <w:rsid w:val="00804854"/>
    <w:rsid w:val="00805A2D"/>
    <w:rsid w:val="00805D01"/>
    <w:rsid w:val="00810606"/>
    <w:rsid w:val="00812D3A"/>
    <w:rsid w:val="008149E0"/>
    <w:rsid w:val="00814ACE"/>
    <w:rsid w:val="008208F6"/>
    <w:rsid w:val="00822B05"/>
    <w:rsid w:val="00823971"/>
    <w:rsid w:val="00825115"/>
    <w:rsid w:val="00825C0C"/>
    <w:rsid w:val="008261CA"/>
    <w:rsid w:val="00826534"/>
    <w:rsid w:val="00826C28"/>
    <w:rsid w:val="00827909"/>
    <w:rsid w:val="00833E5B"/>
    <w:rsid w:val="00833F8A"/>
    <w:rsid w:val="00834CBD"/>
    <w:rsid w:val="00835A0A"/>
    <w:rsid w:val="00835FA3"/>
    <w:rsid w:val="00836AA3"/>
    <w:rsid w:val="00836FCA"/>
    <w:rsid w:val="00842D0A"/>
    <w:rsid w:val="00843663"/>
    <w:rsid w:val="0084602F"/>
    <w:rsid w:val="00846D74"/>
    <w:rsid w:val="00847755"/>
    <w:rsid w:val="00851FB3"/>
    <w:rsid w:val="0085267C"/>
    <w:rsid w:val="0085280B"/>
    <w:rsid w:val="008567AE"/>
    <w:rsid w:val="008602E0"/>
    <w:rsid w:val="0086119A"/>
    <w:rsid w:val="00862274"/>
    <w:rsid w:val="008625DD"/>
    <w:rsid w:val="008631FE"/>
    <w:rsid w:val="008634A5"/>
    <w:rsid w:val="008656EF"/>
    <w:rsid w:val="008657D0"/>
    <w:rsid w:val="00865A18"/>
    <w:rsid w:val="00873670"/>
    <w:rsid w:val="00877B50"/>
    <w:rsid w:val="00880196"/>
    <w:rsid w:val="00880C4E"/>
    <w:rsid w:val="00883C18"/>
    <w:rsid w:val="00884003"/>
    <w:rsid w:val="00884568"/>
    <w:rsid w:val="00886D39"/>
    <w:rsid w:val="00891335"/>
    <w:rsid w:val="00893F10"/>
    <w:rsid w:val="008A0C4A"/>
    <w:rsid w:val="008A3781"/>
    <w:rsid w:val="008A4C9A"/>
    <w:rsid w:val="008A4F8A"/>
    <w:rsid w:val="008A55DC"/>
    <w:rsid w:val="008A6176"/>
    <w:rsid w:val="008A6265"/>
    <w:rsid w:val="008A6F43"/>
    <w:rsid w:val="008B0843"/>
    <w:rsid w:val="008B178C"/>
    <w:rsid w:val="008B256A"/>
    <w:rsid w:val="008B4537"/>
    <w:rsid w:val="008B4958"/>
    <w:rsid w:val="008B50BC"/>
    <w:rsid w:val="008B5F19"/>
    <w:rsid w:val="008B6D39"/>
    <w:rsid w:val="008C0F7D"/>
    <w:rsid w:val="008C11DF"/>
    <w:rsid w:val="008C1A6B"/>
    <w:rsid w:val="008C3C6E"/>
    <w:rsid w:val="008C4D93"/>
    <w:rsid w:val="008C5746"/>
    <w:rsid w:val="008C7711"/>
    <w:rsid w:val="008D03E3"/>
    <w:rsid w:val="008D085E"/>
    <w:rsid w:val="008D0EA5"/>
    <w:rsid w:val="008D185A"/>
    <w:rsid w:val="008D1879"/>
    <w:rsid w:val="008D2226"/>
    <w:rsid w:val="008D2B4F"/>
    <w:rsid w:val="008D34AF"/>
    <w:rsid w:val="008D51B7"/>
    <w:rsid w:val="008E0AE1"/>
    <w:rsid w:val="008E2CA5"/>
    <w:rsid w:val="008E3370"/>
    <w:rsid w:val="008E3A41"/>
    <w:rsid w:val="008E40E6"/>
    <w:rsid w:val="008F1666"/>
    <w:rsid w:val="008F25E1"/>
    <w:rsid w:val="008F2DB6"/>
    <w:rsid w:val="008F45C3"/>
    <w:rsid w:val="008F54C0"/>
    <w:rsid w:val="008F78BF"/>
    <w:rsid w:val="0090152F"/>
    <w:rsid w:val="00901B60"/>
    <w:rsid w:val="0090314C"/>
    <w:rsid w:val="009035B3"/>
    <w:rsid w:val="009045DE"/>
    <w:rsid w:val="00905830"/>
    <w:rsid w:val="00905AE6"/>
    <w:rsid w:val="00907E84"/>
    <w:rsid w:val="009102B1"/>
    <w:rsid w:val="0091348F"/>
    <w:rsid w:val="00913849"/>
    <w:rsid w:val="00913DA9"/>
    <w:rsid w:val="009143D6"/>
    <w:rsid w:val="0091575A"/>
    <w:rsid w:val="00915BD0"/>
    <w:rsid w:val="00915FD5"/>
    <w:rsid w:val="009165B6"/>
    <w:rsid w:val="00916B19"/>
    <w:rsid w:val="0091764F"/>
    <w:rsid w:val="00920176"/>
    <w:rsid w:val="00922D1D"/>
    <w:rsid w:val="00925712"/>
    <w:rsid w:val="0092577B"/>
    <w:rsid w:val="00926486"/>
    <w:rsid w:val="00926831"/>
    <w:rsid w:val="009303A2"/>
    <w:rsid w:val="00937163"/>
    <w:rsid w:val="00940482"/>
    <w:rsid w:val="00942FF5"/>
    <w:rsid w:val="00943B39"/>
    <w:rsid w:val="00943F58"/>
    <w:rsid w:val="0094443B"/>
    <w:rsid w:val="00946950"/>
    <w:rsid w:val="0094784E"/>
    <w:rsid w:val="00947882"/>
    <w:rsid w:val="0094793B"/>
    <w:rsid w:val="00953A9D"/>
    <w:rsid w:val="00953E62"/>
    <w:rsid w:val="009550FC"/>
    <w:rsid w:val="00956336"/>
    <w:rsid w:val="0095755C"/>
    <w:rsid w:val="00957C87"/>
    <w:rsid w:val="00961404"/>
    <w:rsid w:val="0096197F"/>
    <w:rsid w:val="00962079"/>
    <w:rsid w:val="0096341D"/>
    <w:rsid w:val="00964108"/>
    <w:rsid w:val="00964882"/>
    <w:rsid w:val="009678EF"/>
    <w:rsid w:val="009702C0"/>
    <w:rsid w:val="00972737"/>
    <w:rsid w:val="00972D10"/>
    <w:rsid w:val="00974E85"/>
    <w:rsid w:val="00975526"/>
    <w:rsid w:val="00976894"/>
    <w:rsid w:val="009773DB"/>
    <w:rsid w:val="00977F6D"/>
    <w:rsid w:val="0098013A"/>
    <w:rsid w:val="0098095B"/>
    <w:rsid w:val="00980CE5"/>
    <w:rsid w:val="00981293"/>
    <w:rsid w:val="009816BB"/>
    <w:rsid w:val="00982B42"/>
    <w:rsid w:val="00984168"/>
    <w:rsid w:val="0098473F"/>
    <w:rsid w:val="00986130"/>
    <w:rsid w:val="009875FE"/>
    <w:rsid w:val="00987946"/>
    <w:rsid w:val="00990C32"/>
    <w:rsid w:val="009914DB"/>
    <w:rsid w:val="00991717"/>
    <w:rsid w:val="009918C4"/>
    <w:rsid w:val="00993DD3"/>
    <w:rsid w:val="00993FD3"/>
    <w:rsid w:val="00996086"/>
    <w:rsid w:val="00996A73"/>
    <w:rsid w:val="00997308"/>
    <w:rsid w:val="0099765D"/>
    <w:rsid w:val="009A04D2"/>
    <w:rsid w:val="009A04D7"/>
    <w:rsid w:val="009A21F7"/>
    <w:rsid w:val="009A6828"/>
    <w:rsid w:val="009A72CB"/>
    <w:rsid w:val="009B0025"/>
    <w:rsid w:val="009B115E"/>
    <w:rsid w:val="009B1C5F"/>
    <w:rsid w:val="009B4909"/>
    <w:rsid w:val="009B499F"/>
    <w:rsid w:val="009B54E6"/>
    <w:rsid w:val="009B63E1"/>
    <w:rsid w:val="009B754A"/>
    <w:rsid w:val="009C221B"/>
    <w:rsid w:val="009C310C"/>
    <w:rsid w:val="009C3C41"/>
    <w:rsid w:val="009C42F0"/>
    <w:rsid w:val="009C5D2B"/>
    <w:rsid w:val="009C6B99"/>
    <w:rsid w:val="009C748E"/>
    <w:rsid w:val="009D0A6C"/>
    <w:rsid w:val="009D25BB"/>
    <w:rsid w:val="009D34B8"/>
    <w:rsid w:val="009D45AC"/>
    <w:rsid w:val="009D7C16"/>
    <w:rsid w:val="009E280D"/>
    <w:rsid w:val="009E28AB"/>
    <w:rsid w:val="009E2AE4"/>
    <w:rsid w:val="009E3F33"/>
    <w:rsid w:val="009E454B"/>
    <w:rsid w:val="009E62C3"/>
    <w:rsid w:val="009E77CE"/>
    <w:rsid w:val="009E7E61"/>
    <w:rsid w:val="009F0C48"/>
    <w:rsid w:val="009F1AC6"/>
    <w:rsid w:val="009F2126"/>
    <w:rsid w:val="009F3D52"/>
    <w:rsid w:val="009F4263"/>
    <w:rsid w:val="009F46DE"/>
    <w:rsid w:val="009F5B29"/>
    <w:rsid w:val="009F7053"/>
    <w:rsid w:val="009F7D47"/>
    <w:rsid w:val="009F7DC0"/>
    <w:rsid w:val="00A00218"/>
    <w:rsid w:val="00A01041"/>
    <w:rsid w:val="00A013E6"/>
    <w:rsid w:val="00A01431"/>
    <w:rsid w:val="00A02955"/>
    <w:rsid w:val="00A03B6C"/>
    <w:rsid w:val="00A059CF"/>
    <w:rsid w:val="00A12026"/>
    <w:rsid w:val="00A12434"/>
    <w:rsid w:val="00A12938"/>
    <w:rsid w:val="00A131B2"/>
    <w:rsid w:val="00A14792"/>
    <w:rsid w:val="00A161A9"/>
    <w:rsid w:val="00A20C87"/>
    <w:rsid w:val="00A214E6"/>
    <w:rsid w:val="00A22806"/>
    <w:rsid w:val="00A229B2"/>
    <w:rsid w:val="00A22A71"/>
    <w:rsid w:val="00A236AA"/>
    <w:rsid w:val="00A239C4"/>
    <w:rsid w:val="00A24AE5"/>
    <w:rsid w:val="00A257C6"/>
    <w:rsid w:val="00A27AD2"/>
    <w:rsid w:val="00A31FBE"/>
    <w:rsid w:val="00A32AD4"/>
    <w:rsid w:val="00A32B42"/>
    <w:rsid w:val="00A340CE"/>
    <w:rsid w:val="00A36636"/>
    <w:rsid w:val="00A41924"/>
    <w:rsid w:val="00A422AD"/>
    <w:rsid w:val="00A434EB"/>
    <w:rsid w:val="00A443E0"/>
    <w:rsid w:val="00A47CE5"/>
    <w:rsid w:val="00A50EF9"/>
    <w:rsid w:val="00A51D94"/>
    <w:rsid w:val="00A51DD3"/>
    <w:rsid w:val="00A540AC"/>
    <w:rsid w:val="00A55022"/>
    <w:rsid w:val="00A567AD"/>
    <w:rsid w:val="00A56829"/>
    <w:rsid w:val="00A61B79"/>
    <w:rsid w:val="00A64355"/>
    <w:rsid w:val="00A64CFB"/>
    <w:rsid w:val="00A660F9"/>
    <w:rsid w:val="00A67F0D"/>
    <w:rsid w:val="00A703A6"/>
    <w:rsid w:val="00A7108D"/>
    <w:rsid w:val="00A71821"/>
    <w:rsid w:val="00A7377F"/>
    <w:rsid w:val="00A7425C"/>
    <w:rsid w:val="00A744AE"/>
    <w:rsid w:val="00A75AAB"/>
    <w:rsid w:val="00A77C2A"/>
    <w:rsid w:val="00A811E4"/>
    <w:rsid w:val="00A8366F"/>
    <w:rsid w:val="00A83ACD"/>
    <w:rsid w:val="00A86BC1"/>
    <w:rsid w:val="00A87F39"/>
    <w:rsid w:val="00A909F4"/>
    <w:rsid w:val="00A90FFC"/>
    <w:rsid w:val="00A925B0"/>
    <w:rsid w:val="00A92FF7"/>
    <w:rsid w:val="00A939E3"/>
    <w:rsid w:val="00A93CEE"/>
    <w:rsid w:val="00A94F22"/>
    <w:rsid w:val="00A95B52"/>
    <w:rsid w:val="00A95DBF"/>
    <w:rsid w:val="00A97ECB"/>
    <w:rsid w:val="00AA3B58"/>
    <w:rsid w:val="00AA5687"/>
    <w:rsid w:val="00AA77E6"/>
    <w:rsid w:val="00AB22FD"/>
    <w:rsid w:val="00AB249C"/>
    <w:rsid w:val="00AB3057"/>
    <w:rsid w:val="00AB3141"/>
    <w:rsid w:val="00AB5EF7"/>
    <w:rsid w:val="00AB609D"/>
    <w:rsid w:val="00AB66B8"/>
    <w:rsid w:val="00AC188E"/>
    <w:rsid w:val="00AC2268"/>
    <w:rsid w:val="00AC27AF"/>
    <w:rsid w:val="00AC2FEB"/>
    <w:rsid w:val="00AC3AA9"/>
    <w:rsid w:val="00AC7102"/>
    <w:rsid w:val="00AC7AA8"/>
    <w:rsid w:val="00AD14E9"/>
    <w:rsid w:val="00AD38CD"/>
    <w:rsid w:val="00AD75D8"/>
    <w:rsid w:val="00AD7CAC"/>
    <w:rsid w:val="00AD7DE4"/>
    <w:rsid w:val="00AE3D01"/>
    <w:rsid w:val="00AE4FC4"/>
    <w:rsid w:val="00AE5260"/>
    <w:rsid w:val="00AE5CF7"/>
    <w:rsid w:val="00AE5F5F"/>
    <w:rsid w:val="00AE5F7F"/>
    <w:rsid w:val="00AE67B6"/>
    <w:rsid w:val="00AF079D"/>
    <w:rsid w:val="00AF08A4"/>
    <w:rsid w:val="00AF3442"/>
    <w:rsid w:val="00AF49A0"/>
    <w:rsid w:val="00AF5D13"/>
    <w:rsid w:val="00AF6684"/>
    <w:rsid w:val="00AF761E"/>
    <w:rsid w:val="00AF7CFA"/>
    <w:rsid w:val="00B0084E"/>
    <w:rsid w:val="00B021E1"/>
    <w:rsid w:val="00B039FE"/>
    <w:rsid w:val="00B05EB7"/>
    <w:rsid w:val="00B06344"/>
    <w:rsid w:val="00B0641E"/>
    <w:rsid w:val="00B071B2"/>
    <w:rsid w:val="00B078A6"/>
    <w:rsid w:val="00B10813"/>
    <w:rsid w:val="00B10F34"/>
    <w:rsid w:val="00B1435B"/>
    <w:rsid w:val="00B14DE9"/>
    <w:rsid w:val="00B17226"/>
    <w:rsid w:val="00B1739F"/>
    <w:rsid w:val="00B20435"/>
    <w:rsid w:val="00B2193F"/>
    <w:rsid w:val="00B21D21"/>
    <w:rsid w:val="00B26215"/>
    <w:rsid w:val="00B2664C"/>
    <w:rsid w:val="00B30D0B"/>
    <w:rsid w:val="00B329C0"/>
    <w:rsid w:val="00B333E0"/>
    <w:rsid w:val="00B34169"/>
    <w:rsid w:val="00B35DAF"/>
    <w:rsid w:val="00B37B25"/>
    <w:rsid w:val="00B40DB4"/>
    <w:rsid w:val="00B42EA6"/>
    <w:rsid w:val="00B43529"/>
    <w:rsid w:val="00B441A3"/>
    <w:rsid w:val="00B45828"/>
    <w:rsid w:val="00B459E6"/>
    <w:rsid w:val="00B4788F"/>
    <w:rsid w:val="00B51807"/>
    <w:rsid w:val="00B51D11"/>
    <w:rsid w:val="00B52304"/>
    <w:rsid w:val="00B52E59"/>
    <w:rsid w:val="00B537AA"/>
    <w:rsid w:val="00B54871"/>
    <w:rsid w:val="00B54BEC"/>
    <w:rsid w:val="00B5661B"/>
    <w:rsid w:val="00B568D1"/>
    <w:rsid w:val="00B56F9E"/>
    <w:rsid w:val="00B5771D"/>
    <w:rsid w:val="00B6040F"/>
    <w:rsid w:val="00B60D18"/>
    <w:rsid w:val="00B62BF7"/>
    <w:rsid w:val="00B704DC"/>
    <w:rsid w:val="00B70AB4"/>
    <w:rsid w:val="00B7681D"/>
    <w:rsid w:val="00B770F9"/>
    <w:rsid w:val="00B8223C"/>
    <w:rsid w:val="00B82CF7"/>
    <w:rsid w:val="00B82E6C"/>
    <w:rsid w:val="00B83E5B"/>
    <w:rsid w:val="00B840FF"/>
    <w:rsid w:val="00B8418F"/>
    <w:rsid w:val="00B850F5"/>
    <w:rsid w:val="00B85BB5"/>
    <w:rsid w:val="00B85D28"/>
    <w:rsid w:val="00B923D8"/>
    <w:rsid w:val="00B924CB"/>
    <w:rsid w:val="00B9671E"/>
    <w:rsid w:val="00BA0BF9"/>
    <w:rsid w:val="00BA1742"/>
    <w:rsid w:val="00BA6A1E"/>
    <w:rsid w:val="00BA779B"/>
    <w:rsid w:val="00BB14E3"/>
    <w:rsid w:val="00BB2113"/>
    <w:rsid w:val="00BB4F87"/>
    <w:rsid w:val="00BB6955"/>
    <w:rsid w:val="00BB7076"/>
    <w:rsid w:val="00BC08DE"/>
    <w:rsid w:val="00BC15E9"/>
    <w:rsid w:val="00BC295A"/>
    <w:rsid w:val="00BC31D7"/>
    <w:rsid w:val="00BC5A19"/>
    <w:rsid w:val="00BC7BDB"/>
    <w:rsid w:val="00BC7D06"/>
    <w:rsid w:val="00BD02D1"/>
    <w:rsid w:val="00BD0888"/>
    <w:rsid w:val="00BD2382"/>
    <w:rsid w:val="00BD38A7"/>
    <w:rsid w:val="00BD4CB1"/>
    <w:rsid w:val="00BD5685"/>
    <w:rsid w:val="00BD58EC"/>
    <w:rsid w:val="00BD6426"/>
    <w:rsid w:val="00BD6C5E"/>
    <w:rsid w:val="00BD7122"/>
    <w:rsid w:val="00BD7B28"/>
    <w:rsid w:val="00BE0E4E"/>
    <w:rsid w:val="00BE11CE"/>
    <w:rsid w:val="00BE1F7A"/>
    <w:rsid w:val="00BE53BD"/>
    <w:rsid w:val="00BE5AE9"/>
    <w:rsid w:val="00BE619B"/>
    <w:rsid w:val="00BE7431"/>
    <w:rsid w:val="00BE782B"/>
    <w:rsid w:val="00BF004A"/>
    <w:rsid w:val="00BF1472"/>
    <w:rsid w:val="00BF1F32"/>
    <w:rsid w:val="00BF208A"/>
    <w:rsid w:val="00BF2F72"/>
    <w:rsid w:val="00BF3E51"/>
    <w:rsid w:val="00BF4366"/>
    <w:rsid w:val="00BF495E"/>
    <w:rsid w:val="00BF5015"/>
    <w:rsid w:val="00BF7CA8"/>
    <w:rsid w:val="00BF7F5D"/>
    <w:rsid w:val="00C000E6"/>
    <w:rsid w:val="00C0041F"/>
    <w:rsid w:val="00C03B29"/>
    <w:rsid w:val="00C0439B"/>
    <w:rsid w:val="00C070F9"/>
    <w:rsid w:val="00C075E0"/>
    <w:rsid w:val="00C10A53"/>
    <w:rsid w:val="00C11B1A"/>
    <w:rsid w:val="00C13846"/>
    <w:rsid w:val="00C1558A"/>
    <w:rsid w:val="00C16B44"/>
    <w:rsid w:val="00C16E65"/>
    <w:rsid w:val="00C249BE"/>
    <w:rsid w:val="00C24B4C"/>
    <w:rsid w:val="00C26C1D"/>
    <w:rsid w:val="00C409F2"/>
    <w:rsid w:val="00C40EFF"/>
    <w:rsid w:val="00C42564"/>
    <w:rsid w:val="00C426BD"/>
    <w:rsid w:val="00C43613"/>
    <w:rsid w:val="00C46458"/>
    <w:rsid w:val="00C50F27"/>
    <w:rsid w:val="00C561A1"/>
    <w:rsid w:val="00C57185"/>
    <w:rsid w:val="00C576DE"/>
    <w:rsid w:val="00C57C2D"/>
    <w:rsid w:val="00C601F8"/>
    <w:rsid w:val="00C60374"/>
    <w:rsid w:val="00C61701"/>
    <w:rsid w:val="00C65F10"/>
    <w:rsid w:val="00C674CF"/>
    <w:rsid w:val="00C705FA"/>
    <w:rsid w:val="00C70EEE"/>
    <w:rsid w:val="00C72E0F"/>
    <w:rsid w:val="00C73001"/>
    <w:rsid w:val="00C74CE6"/>
    <w:rsid w:val="00C750F1"/>
    <w:rsid w:val="00C75D0D"/>
    <w:rsid w:val="00C767F3"/>
    <w:rsid w:val="00C77592"/>
    <w:rsid w:val="00C775F0"/>
    <w:rsid w:val="00C77A9D"/>
    <w:rsid w:val="00C77D07"/>
    <w:rsid w:val="00C826A9"/>
    <w:rsid w:val="00C8459E"/>
    <w:rsid w:val="00C86BCB"/>
    <w:rsid w:val="00C920FA"/>
    <w:rsid w:val="00C9220E"/>
    <w:rsid w:val="00C9312C"/>
    <w:rsid w:val="00C93C64"/>
    <w:rsid w:val="00C959F6"/>
    <w:rsid w:val="00C97B27"/>
    <w:rsid w:val="00CA54D2"/>
    <w:rsid w:val="00CA69C5"/>
    <w:rsid w:val="00CB2000"/>
    <w:rsid w:val="00CB2555"/>
    <w:rsid w:val="00CB3D5A"/>
    <w:rsid w:val="00CB621C"/>
    <w:rsid w:val="00CB7057"/>
    <w:rsid w:val="00CC02F2"/>
    <w:rsid w:val="00CC13CF"/>
    <w:rsid w:val="00CC2DBD"/>
    <w:rsid w:val="00CC33AC"/>
    <w:rsid w:val="00CC39D0"/>
    <w:rsid w:val="00CC3A27"/>
    <w:rsid w:val="00CC444E"/>
    <w:rsid w:val="00CC69FA"/>
    <w:rsid w:val="00CC6B34"/>
    <w:rsid w:val="00CC7127"/>
    <w:rsid w:val="00CD09B4"/>
    <w:rsid w:val="00CD239D"/>
    <w:rsid w:val="00CD6EE8"/>
    <w:rsid w:val="00CD7773"/>
    <w:rsid w:val="00CE1024"/>
    <w:rsid w:val="00CE2312"/>
    <w:rsid w:val="00CE5339"/>
    <w:rsid w:val="00CE691B"/>
    <w:rsid w:val="00CE7437"/>
    <w:rsid w:val="00CE78B9"/>
    <w:rsid w:val="00CF02C2"/>
    <w:rsid w:val="00CF0BA0"/>
    <w:rsid w:val="00CF2EEF"/>
    <w:rsid w:val="00CF464F"/>
    <w:rsid w:val="00CF48A1"/>
    <w:rsid w:val="00CF5CD9"/>
    <w:rsid w:val="00CF67F1"/>
    <w:rsid w:val="00D004DE"/>
    <w:rsid w:val="00D01E73"/>
    <w:rsid w:val="00D029A4"/>
    <w:rsid w:val="00D030F7"/>
    <w:rsid w:val="00D0314D"/>
    <w:rsid w:val="00D05F0E"/>
    <w:rsid w:val="00D06A95"/>
    <w:rsid w:val="00D06AAE"/>
    <w:rsid w:val="00D0778D"/>
    <w:rsid w:val="00D1313E"/>
    <w:rsid w:val="00D13DA8"/>
    <w:rsid w:val="00D16244"/>
    <w:rsid w:val="00D1676A"/>
    <w:rsid w:val="00D21084"/>
    <w:rsid w:val="00D223B2"/>
    <w:rsid w:val="00D2261E"/>
    <w:rsid w:val="00D2503E"/>
    <w:rsid w:val="00D2665C"/>
    <w:rsid w:val="00D267E9"/>
    <w:rsid w:val="00D31A22"/>
    <w:rsid w:val="00D31D83"/>
    <w:rsid w:val="00D31F8A"/>
    <w:rsid w:val="00D32CD6"/>
    <w:rsid w:val="00D33E6D"/>
    <w:rsid w:val="00D355AF"/>
    <w:rsid w:val="00D36CF7"/>
    <w:rsid w:val="00D37677"/>
    <w:rsid w:val="00D41566"/>
    <w:rsid w:val="00D4185E"/>
    <w:rsid w:val="00D41F1D"/>
    <w:rsid w:val="00D424F4"/>
    <w:rsid w:val="00D448A6"/>
    <w:rsid w:val="00D50E3E"/>
    <w:rsid w:val="00D515BB"/>
    <w:rsid w:val="00D548EC"/>
    <w:rsid w:val="00D56913"/>
    <w:rsid w:val="00D6062B"/>
    <w:rsid w:val="00D6138B"/>
    <w:rsid w:val="00D61E00"/>
    <w:rsid w:val="00D637DD"/>
    <w:rsid w:val="00D63F5A"/>
    <w:rsid w:val="00D66BE2"/>
    <w:rsid w:val="00D704B3"/>
    <w:rsid w:val="00D70B9C"/>
    <w:rsid w:val="00D71AF2"/>
    <w:rsid w:val="00D73671"/>
    <w:rsid w:val="00D74914"/>
    <w:rsid w:val="00D74C71"/>
    <w:rsid w:val="00D76110"/>
    <w:rsid w:val="00D765FC"/>
    <w:rsid w:val="00D77428"/>
    <w:rsid w:val="00D77EC9"/>
    <w:rsid w:val="00D81DC0"/>
    <w:rsid w:val="00D8264B"/>
    <w:rsid w:val="00D9028D"/>
    <w:rsid w:val="00D91F21"/>
    <w:rsid w:val="00D935CD"/>
    <w:rsid w:val="00D94273"/>
    <w:rsid w:val="00D944A0"/>
    <w:rsid w:val="00D946E9"/>
    <w:rsid w:val="00D965A8"/>
    <w:rsid w:val="00DA1173"/>
    <w:rsid w:val="00DA365A"/>
    <w:rsid w:val="00DA5F06"/>
    <w:rsid w:val="00DA7EB6"/>
    <w:rsid w:val="00DB01EA"/>
    <w:rsid w:val="00DB1008"/>
    <w:rsid w:val="00DB2502"/>
    <w:rsid w:val="00DB45CC"/>
    <w:rsid w:val="00DB6D11"/>
    <w:rsid w:val="00DB7E41"/>
    <w:rsid w:val="00DC06AC"/>
    <w:rsid w:val="00DC110A"/>
    <w:rsid w:val="00DC1BF6"/>
    <w:rsid w:val="00DC2FDC"/>
    <w:rsid w:val="00DC3A4D"/>
    <w:rsid w:val="00DC4A9B"/>
    <w:rsid w:val="00DC4FA6"/>
    <w:rsid w:val="00DC500F"/>
    <w:rsid w:val="00DC76AE"/>
    <w:rsid w:val="00DD230C"/>
    <w:rsid w:val="00DD2358"/>
    <w:rsid w:val="00DD447E"/>
    <w:rsid w:val="00DD4719"/>
    <w:rsid w:val="00DD6937"/>
    <w:rsid w:val="00DD6E5B"/>
    <w:rsid w:val="00DD727F"/>
    <w:rsid w:val="00DD7398"/>
    <w:rsid w:val="00DD7997"/>
    <w:rsid w:val="00DE0520"/>
    <w:rsid w:val="00DE0C34"/>
    <w:rsid w:val="00DE2DF3"/>
    <w:rsid w:val="00DE3B31"/>
    <w:rsid w:val="00DE3BA7"/>
    <w:rsid w:val="00DE5384"/>
    <w:rsid w:val="00DE6AB5"/>
    <w:rsid w:val="00DE7014"/>
    <w:rsid w:val="00DE75DA"/>
    <w:rsid w:val="00DE79C5"/>
    <w:rsid w:val="00DF18EC"/>
    <w:rsid w:val="00DF19C0"/>
    <w:rsid w:val="00DF52FA"/>
    <w:rsid w:val="00DF57EF"/>
    <w:rsid w:val="00DF5F3C"/>
    <w:rsid w:val="00DF667F"/>
    <w:rsid w:val="00DF6C28"/>
    <w:rsid w:val="00E00AB8"/>
    <w:rsid w:val="00E00B48"/>
    <w:rsid w:val="00E0130E"/>
    <w:rsid w:val="00E01675"/>
    <w:rsid w:val="00E02B31"/>
    <w:rsid w:val="00E030EE"/>
    <w:rsid w:val="00E07CC4"/>
    <w:rsid w:val="00E108C3"/>
    <w:rsid w:val="00E11664"/>
    <w:rsid w:val="00E11F03"/>
    <w:rsid w:val="00E120B6"/>
    <w:rsid w:val="00E120B9"/>
    <w:rsid w:val="00E124D0"/>
    <w:rsid w:val="00E13758"/>
    <w:rsid w:val="00E1381E"/>
    <w:rsid w:val="00E148F3"/>
    <w:rsid w:val="00E1515F"/>
    <w:rsid w:val="00E151DA"/>
    <w:rsid w:val="00E15382"/>
    <w:rsid w:val="00E207BE"/>
    <w:rsid w:val="00E20944"/>
    <w:rsid w:val="00E2203F"/>
    <w:rsid w:val="00E238A2"/>
    <w:rsid w:val="00E23BBB"/>
    <w:rsid w:val="00E24F54"/>
    <w:rsid w:val="00E26404"/>
    <w:rsid w:val="00E3243B"/>
    <w:rsid w:val="00E32FD8"/>
    <w:rsid w:val="00E335D8"/>
    <w:rsid w:val="00E33707"/>
    <w:rsid w:val="00E34005"/>
    <w:rsid w:val="00E3521D"/>
    <w:rsid w:val="00E35248"/>
    <w:rsid w:val="00E3663F"/>
    <w:rsid w:val="00E367AE"/>
    <w:rsid w:val="00E37606"/>
    <w:rsid w:val="00E413AB"/>
    <w:rsid w:val="00E43274"/>
    <w:rsid w:val="00E44892"/>
    <w:rsid w:val="00E4665E"/>
    <w:rsid w:val="00E47E75"/>
    <w:rsid w:val="00E52B86"/>
    <w:rsid w:val="00E53F38"/>
    <w:rsid w:val="00E54910"/>
    <w:rsid w:val="00E55FB4"/>
    <w:rsid w:val="00E561C6"/>
    <w:rsid w:val="00E613E4"/>
    <w:rsid w:val="00E61DC5"/>
    <w:rsid w:val="00E64E71"/>
    <w:rsid w:val="00E650E4"/>
    <w:rsid w:val="00E67EC0"/>
    <w:rsid w:val="00E7090F"/>
    <w:rsid w:val="00E73E35"/>
    <w:rsid w:val="00E756D1"/>
    <w:rsid w:val="00E80597"/>
    <w:rsid w:val="00E807BA"/>
    <w:rsid w:val="00E80962"/>
    <w:rsid w:val="00E80F7E"/>
    <w:rsid w:val="00E8164C"/>
    <w:rsid w:val="00E82B5F"/>
    <w:rsid w:val="00E830A6"/>
    <w:rsid w:val="00E83556"/>
    <w:rsid w:val="00E83F3E"/>
    <w:rsid w:val="00E857DA"/>
    <w:rsid w:val="00E908C3"/>
    <w:rsid w:val="00E90D94"/>
    <w:rsid w:val="00E90E76"/>
    <w:rsid w:val="00E91EF3"/>
    <w:rsid w:val="00E93173"/>
    <w:rsid w:val="00E95194"/>
    <w:rsid w:val="00E96F65"/>
    <w:rsid w:val="00EA066E"/>
    <w:rsid w:val="00EA0F8F"/>
    <w:rsid w:val="00EA5BBB"/>
    <w:rsid w:val="00EA7A53"/>
    <w:rsid w:val="00EB06FA"/>
    <w:rsid w:val="00EB0789"/>
    <w:rsid w:val="00EB08C4"/>
    <w:rsid w:val="00EB10A7"/>
    <w:rsid w:val="00EB2328"/>
    <w:rsid w:val="00EB48A2"/>
    <w:rsid w:val="00EB49BC"/>
    <w:rsid w:val="00EB6085"/>
    <w:rsid w:val="00EB6DE7"/>
    <w:rsid w:val="00EB6FB6"/>
    <w:rsid w:val="00EB71F5"/>
    <w:rsid w:val="00EC0FC6"/>
    <w:rsid w:val="00EC197C"/>
    <w:rsid w:val="00EC5F1A"/>
    <w:rsid w:val="00ED4442"/>
    <w:rsid w:val="00ED574F"/>
    <w:rsid w:val="00ED694A"/>
    <w:rsid w:val="00ED76D9"/>
    <w:rsid w:val="00ED77F1"/>
    <w:rsid w:val="00EE19B3"/>
    <w:rsid w:val="00EE2372"/>
    <w:rsid w:val="00EE3343"/>
    <w:rsid w:val="00EF0DF0"/>
    <w:rsid w:val="00EF1559"/>
    <w:rsid w:val="00EF3E61"/>
    <w:rsid w:val="00EF64D9"/>
    <w:rsid w:val="00F0398D"/>
    <w:rsid w:val="00F0434D"/>
    <w:rsid w:val="00F0449C"/>
    <w:rsid w:val="00F060A4"/>
    <w:rsid w:val="00F06124"/>
    <w:rsid w:val="00F07523"/>
    <w:rsid w:val="00F1269D"/>
    <w:rsid w:val="00F132D8"/>
    <w:rsid w:val="00F16B10"/>
    <w:rsid w:val="00F20BFD"/>
    <w:rsid w:val="00F21810"/>
    <w:rsid w:val="00F222D2"/>
    <w:rsid w:val="00F231AB"/>
    <w:rsid w:val="00F2375D"/>
    <w:rsid w:val="00F23C81"/>
    <w:rsid w:val="00F2489F"/>
    <w:rsid w:val="00F24BB1"/>
    <w:rsid w:val="00F2618E"/>
    <w:rsid w:val="00F27B29"/>
    <w:rsid w:val="00F304EE"/>
    <w:rsid w:val="00F31887"/>
    <w:rsid w:val="00F35671"/>
    <w:rsid w:val="00F3592B"/>
    <w:rsid w:val="00F366CF"/>
    <w:rsid w:val="00F366DA"/>
    <w:rsid w:val="00F400C4"/>
    <w:rsid w:val="00F40A43"/>
    <w:rsid w:val="00F40F15"/>
    <w:rsid w:val="00F41539"/>
    <w:rsid w:val="00F41E90"/>
    <w:rsid w:val="00F44906"/>
    <w:rsid w:val="00F463F0"/>
    <w:rsid w:val="00F46B42"/>
    <w:rsid w:val="00F4710F"/>
    <w:rsid w:val="00F505B2"/>
    <w:rsid w:val="00F53A81"/>
    <w:rsid w:val="00F53E1D"/>
    <w:rsid w:val="00F5434E"/>
    <w:rsid w:val="00F57750"/>
    <w:rsid w:val="00F57D8D"/>
    <w:rsid w:val="00F60D82"/>
    <w:rsid w:val="00F60E88"/>
    <w:rsid w:val="00F60EA7"/>
    <w:rsid w:val="00F617B7"/>
    <w:rsid w:val="00F62BE1"/>
    <w:rsid w:val="00F62DA5"/>
    <w:rsid w:val="00F641A4"/>
    <w:rsid w:val="00F70724"/>
    <w:rsid w:val="00F73B29"/>
    <w:rsid w:val="00F757F6"/>
    <w:rsid w:val="00F75E84"/>
    <w:rsid w:val="00F7655D"/>
    <w:rsid w:val="00F76827"/>
    <w:rsid w:val="00F823B7"/>
    <w:rsid w:val="00F82B69"/>
    <w:rsid w:val="00F8331E"/>
    <w:rsid w:val="00F84984"/>
    <w:rsid w:val="00F84A95"/>
    <w:rsid w:val="00F85193"/>
    <w:rsid w:val="00F85296"/>
    <w:rsid w:val="00F86321"/>
    <w:rsid w:val="00F90437"/>
    <w:rsid w:val="00F91188"/>
    <w:rsid w:val="00F911C5"/>
    <w:rsid w:val="00F928A1"/>
    <w:rsid w:val="00F94B1A"/>
    <w:rsid w:val="00F94D75"/>
    <w:rsid w:val="00F9546C"/>
    <w:rsid w:val="00F96738"/>
    <w:rsid w:val="00F96CF9"/>
    <w:rsid w:val="00F97B72"/>
    <w:rsid w:val="00FA10A8"/>
    <w:rsid w:val="00FA1427"/>
    <w:rsid w:val="00FA45BA"/>
    <w:rsid w:val="00FA4B03"/>
    <w:rsid w:val="00FA5296"/>
    <w:rsid w:val="00FA6F2E"/>
    <w:rsid w:val="00FB1F93"/>
    <w:rsid w:val="00FB48DF"/>
    <w:rsid w:val="00FB4F3E"/>
    <w:rsid w:val="00FB5972"/>
    <w:rsid w:val="00FB632F"/>
    <w:rsid w:val="00FC07D0"/>
    <w:rsid w:val="00FC3256"/>
    <w:rsid w:val="00FC3BAF"/>
    <w:rsid w:val="00FC5824"/>
    <w:rsid w:val="00FC5D22"/>
    <w:rsid w:val="00FC741D"/>
    <w:rsid w:val="00FD01BA"/>
    <w:rsid w:val="00FD0CA5"/>
    <w:rsid w:val="00FD4012"/>
    <w:rsid w:val="00FD5854"/>
    <w:rsid w:val="00FD713D"/>
    <w:rsid w:val="00FE20F3"/>
    <w:rsid w:val="00FE3F6F"/>
    <w:rsid w:val="00FE3FC8"/>
    <w:rsid w:val="00FE4D45"/>
    <w:rsid w:val="00FE5F0C"/>
    <w:rsid w:val="00FF4F25"/>
    <w:rsid w:val="00FF5079"/>
    <w:rsid w:val="00FF50FB"/>
    <w:rsid w:val="00FF6B57"/>
    <w:rsid w:val="01262A4D"/>
    <w:rsid w:val="0161650D"/>
    <w:rsid w:val="016D1684"/>
    <w:rsid w:val="01B04500"/>
    <w:rsid w:val="01B31E16"/>
    <w:rsid w:val="01D04E93"/>
    <w:rsid w:val="01D7158D"/>
    <w:rsid w:val="01D8699E"/>
    <w:rsid w:val="01DC52B1"/>
    <w:rsid w:val="01EE746E"/>
    <w:rsid w:val="02017DCB"/>
    <w:rsid w:val="022B1E95"/>
    <w:rsid w:val="0256197E"/>
    <w:rsid w:val="026F1FE6"/>
    <w:rsid w:val="027B7754"/>
    <w:rsid w:val="02C0545C"/>
    <w:rsid w:val="02D84F28"/>
    <w:rsid w:val="031B752A"/>
    <w:rsid w:val="03262267"/>
    <w:rsid w:val="033B490A"/>
    <w:rsid w:val="03794AF6"/>
    <w:rsid w:val="039D3BE2"/>
    <w:rsid w:val="03B965CA"/>
    <w:rsid w:val="03D32B17"/>
    <w:rsid w:val="03D64FF9"/>
    <w:rsid w:val="03DF51D8"/>
    <w:rsid w:val="03E46A7F"/>
    <w:rsid w:val="03F30799"/>
    <w:rsid w:val="04245CC6"/>
    <w:rsid w:val="0432090D"/>
    <w:rsid w:val="04475648"/>
    <w:rsid w:val="04506807"/>
    <w:rsid w:val="04714F72"/>
    <w:rsid w:val="04736200"/>
    <w:rsid w:val="047550DB"/>
    <w:rsid w:val="0480214A"/>
    <w:rsid w:val="0484318E"/>
    <w:rsid w:val="04B0361E"/>
    <w:rsid w:val="04EB11FE"/>
    <w:rsid w:val="04EE1776"/>
    <w:rsid w:val="051B544B"/>
    <w:rsid w:val="053640B5"/>
    <w:rsid w:val="05486A95"/>
    <w:rsid w:val="055F06CF"/>
    <w:rsid w:val="05A2203A"/>
    <w:rsid w:val="05BE081F"/>
    <w:rsid w:val="05C757C1"/>
    <w:rsid w:val="05E41D15"/>
    <w:rsid w:val="06211E21"/>
    <w:rsid w:val="063F2AE5"/>
    <w:rsid w:val="066D4CE1"/>
    <w:rsid w:val="067B477F"/>
    <w:rsid w:val="068C498F"/>
    <w:rsid w:val="06D53BB9"/>
    <w:rsid w:val="06E74A42"/>
    <w:rsid w:val="07031F83"/>
    <w:rsid w:val="07170777"/>
    <w:rsid w:val="072F720E"/>
    <w:rsid w:val="073F25B6"/>
    <w:rsid w:val="07477166"/>
    <w:rsid w:val="07504230"/>
    <w:rsid w:val="078253F5"/>
    <w:rsid w:val="07A2518C"/>
    <w:rsid w:val="07A357FE"/>
    <w:rsid w:val="07C70A58"/>
    <w:rsid w:val="080169B3"/>
    <w:rsid w:val="08207AF6"/>
    <w:rsid w:val="085F2844"/>
    <w:rsid w:val="08705E11"/>
    <w:rsid w:val="088A0411"/>
    <w:rsid w:val="08B00A92"/>
    <w:rsid w:val="08C33C1A"/>
    <w:rsid w:val="08C74F07"/>
    <w:rsid w:val="08D84396"/>
    <w:rsid w:val="09010D19"/>
    <w:rsid w:val="09431C6A"/>
    <w:rsid w:val="094927F4"/>
    <w:rsid w:val="095728A7"/>
    <w:rsid w:val="097A15A5"/>
    <w:rsid w:val="097B69AA"/>
    <w:rsid w:val="0A01649D"/>
    <w:rsid w:val="0A1B2F95"/>
    <w:rsid w:val="0A323123"/>
    <w:rsid w:val="0A404975"/>
    <w:rsid w:val="0A447109"/>
    <w:rsid w:val="0A600A2A"/>
    <w:rsid w:val="0A6157BC"/>
    <w:rsid w:val="0A870ACB"/>
    <w:rsid w:val="0A8A634D"/>
    <w:rsid w:val="0A93098D"/>
    <w:rsid w:val="0ABC6CD0"/>
    <w:rsid w:val="0AFB6637"/>
    <w:rsid w:val="0B0B71FB"/>
    <w:rsid w:val="0B0C7351"/>
    <w:rsid w:val="0B1D6FB2"/>
    <w:rsid w:val="0B5770F6"/>
    <w:rsid w:val="0B7A1E23"/>
    <w:rsid w:val="0BC71450"/>
    <w:rsid w:val="0BC86BCC"/>
    <w:rsid w:val="0BD3774E"/>
    <w:rsid w:val="0BE923B6"/>
    <w:rsid w:val="0BFD0227"/>
    <w:rsid w:val="0C0A5D32"/>
    <w:rsid w:val="0C3C1AF2"/>
    <w:rsid w:val="0C490150"/>
    <w:rsid w:val="0C4C7806"/>
    <w:rsid w:val="0C555206"/>
    <w:rsid w:val="0CA60F8C"/>
    <w:rsid w:val="0CAA54C3"/>
    <w:rsid w:val="0CB3607A"/>
    <w:rsid w:val="0CE210A5"/>
    <w:rsid w:val="0CF4794F"/>
    <w:rsid w:val="0CFB5904"/>
    <w:rsid w:val="0D28396F"/>
    <w:rsid w:val="0D462C02"/>
    <w:rsid w:val="0D4865F8"/>
    <w:rsid w:val="0D5E4110"/>
    <w:rsid w:val="0D9E1D82"/>
    <w:rsid w:val="0DCD4866"/>
    <w:rsid w:val="0DF00FC3"/>
    <w:rsid w:val="0E1E0E21"/>
    <w:rsid w:val="0E3A25E6"/>
    <w:rsid w:val="0E413A70"/>
    <w:rsid w:val="0E487F11"/>
    <w:rsid w:val="0E5E4C01"/>
    <w:rsid w:val="0E75179E"/>
    <w:rsid w:val="0E764519"/>
    <w:rsid w:val="0E8148E9"/>
    <w:rsid w:val="0EA04BBD"/>
    <w:rsid w:val="0EA66AFA"/>
    <w:rsid w:val="0EFC36E5"/>
    <w:rsid w:val="0F012521"/>
    <w:rsid w:val="0F293B2D"/>
    <w:rsid w:val="0F4245AA"/>
    <w:rsid w:val="0F4944C8"/>
    <w:rsid w:val="0F856D7C"/>
    <w:rsid w:val="0FA40C66"/>
    <w:rsid w:val="0FBA1C19"/>
    <w:rsid w:val="0FD72864"/>
    <w:rsid w:val="0FE76BBC"/>
    <w:rsid w:val="1012149F"/>
    <w:rsid w:val="1050255E"/>
    <w:rsid w:val="10800731"/>
    <w:rsid w:val="108A6DCE"/>
    <w:rsid w:val="1099262B"/>
    <w:rsid w:val="10BD2C31"/>
    <w:rsid w:val="10E72B9F"/>
    <w:rsid w:val="10EE7DD4"/>
    <w:rsid w:val="10F11000"/>
    <w:rsid w:val="10F82D2F"/>
    <w:rsid w:val="11174D13"/>
    <w:rsid w:val="111928D1"/>
    <w:rsid w:val="11245A43"/>
    <w:rsid w:val="11271609"/>
    <w:rsid w:val="113A53C4"/>
    <w:rsid w:val="11423E5F"/>
    <w:rsid w:val="114C29E8"/>
    <w:rsid w:val="11512744"/>
    <w:rsid w:val="1154104B"/>
    <w:rsid w:val="117E6776"/>
    <w:rsid w:val="120E1EDE"/>
    <w:rsid w:val="121E30E7"/>
    <w:rsid w:val="12334244"/>
    <w:rsid w:val="1243265A"/>
    <w:rsid w:val="124A7543"/>
    <w:rsid w:val="12521F00"/>
    <w:rsid w:val="12546914"/>
    <w:rsid w:val="125760D4"/>
    <w:rsid w:val="127F0410"/>
    <w:rsid w:val="12CC0349"/>
    <w:rsid w:val="12F94796"/>
    <w:rsid w:val="13161848"/>
    <w:rsid w:val="132728CD"/>
    <w:rsid w:val="133A31A2"/>
    <w:rsid w:val="13537CEC"/>
    <w:rsid w:val="137204BA"/>
    <w:rsid w:val="13767B3A"/>
    <w:rsid w:val="13815D15"/>
    <w:rsid w:val="138A48B6"/>
    <w:rsid w:val="1390642F"/>
    <w:rsid w:val="13A17D25"/>
    <w:rsid w:val="13BA35BF"/>
    <w:rsid w:val="13D02B8C"/>
    <w:rsid w:val="13D659BD"/>
    <w:rsid w:val="13E50981"/>
    <w:rsid w:val="13FE0DFE"/>
    <w:rsid w:val="14151EEA"/>
    <w:rsid w:val="142B2AFA"/>
    <w:rsid w:val="145835BA"/>
    <w:rsid w:val="14794309"/>
    <w:rsid w:val="14825712"/>
    <w:rsid w:val="14941145"/>
    <w:rsid w:val="14A718D6"/>
    <w:rsid w:val="14A91555"/>
    <w:rsid w:val="14D47AB7"/>
    <w:rsid w:val="14E453C8"/>
    <w:rsid w:val="152D47C3"/>
    <w:rsid w:val="153214D2"/>
    <w:rsid w:val="155B529C"/>
    <w:rsid w:val="15625511"/>
    <w:rsid w:val="158D6722"/>
    <w:rsid w:val="16021394"/>
    <w:rsid w:val="160E0808"/>
    <w:rsid w:val="1649386D"/>
    <w:rsid w:val="165265FC"/>
    <w:rsid w:val="16E425C9"/>
    <w:rsid w:val="170E6D43"/>
    <w:rsid w:val="17292C6A"/>
    <w:rsid w:val="17294A6D"/>
    <w:rsid w:val="17322B53"/>
    <w:rsid w:val="17343D68"/>
    <w:rsid w:val="1734459D"/>
    <w:rsid w:val="17786ED9"/>
    <w:rsid w:val="178B60C6"/>
    <w:rsid w:val="17B16E03"/>
    <w:rsid w:val="17B46B20"/>
    <w:rsid w:val="17B63240"/>
    <w:rsid w:val="17BD582B"/>
    <w:rsid w:val="17CE447E"/>
    <w:rsid w:val="17D41B31"/>
    <w:rsid w:val="18067269"/>
    <w:rsid w:val="181B18E0"/>
    <w:rsid w:val="185F4419"/>
    <w:rsid w:val="1889233A"/>
    <w:rsid w:val="189C62C6"/>
    <w:rsid w:val="18A90BB8"/>
    <w:rsid w:val="18D94284"/>
    <w:rsid w:val="18FF4C70"/>
    <w:rsid w:val="19617621"/>
    <w:rsid w:val="196E0DDB"/>
    <w:rsid w:val="1972591D"/>
    <w:rsid w:val="19761650"/>
    <w:rsid w:val="197E5D58"/>
    <w:rsid w:val="19802E78"/>
    <w:rsid w:val="1982352D"/>
    <w:rsid w:val="19A16964"/>
    <w:rsid w:val="19A86598"/>
    <w:rsid w:val="19AE1969"/>
    <w:rsid w:val="19B87DC1"/>
    <w:rsid w:val="1A28357B"/>
    <w:rsid w:val="1A313A49"/>
    <w:rsid w:val="1A6D701B"/>
    <w:rsid w:val="1B240EAD"/>
    <w:rsid w:val="1B25070F"/>
    <w:rsid w:val="1B2F721F"/>
    <w:rsid w:val="1B5B2C64"/>
    <w:rsid w:val="1B6953CB"/>
    <w:rsid w:val="1BC15DD7"/>
    <w:rsid w:val="1BD50603"/>
    <w:rsid w:val="1BDC1602"/>
    <w:rsid w:val="1BF95799"/>
    <w:rsid w:val="1C340624"/>
    <w:rsid w:val="1C4055EE"/>
    <w:rsid w:val="1C8F0F9D"/>
    <w:rsid w:val="1C9D505E"/>
    <w:rsid w:val="1CA26601"/>
    <w:rsid w:val="1CE5512D"/>
    <w:rsid w:val="1D4D223A"/>
    <w:rsid w:val="1D636647"/>
    <w:rsid w:val="1D7F24F1"/>
    <w:rsid w:val="1D8A4DF3"/>
    <w:rsid w:val="1D8D6749"/>
    <w:rsid w:val="1DBB2D63"/>
    <w:rsid w:val="1DC6123C"/>
    <w:rsid w:val="1DE61A43"/>
    <w:rsid w:val="1E233BB0"/>
    <w:rsid w:val="1E312728"/>
    <w:rsid w:val="1E362239"/>
    <w:rsid w:val="1E385716"/>
    <w:rsid w:val="1E4303C2"/>
    <w:rsid w:val="1E6418CC"/>
    <w:rsid w:val="1EB308C1"/>
    <w:rsid w:val="1EF95415"/>
    <w:rsid w:val="1EFE6E0C"/>
    <w:rsid w:val="1F101ABE"/>
    <w:rsid w:val="1F3D6927"/>
    <w:rsid w:val="1F405F69"/>
    <w:rsid w:val="1F631378"/>
    <w:rsid w:val="1F687919"/>
    <w:rsid w:val="1F76202E"/>
    <w:rsid w:val="1F8F7E5C"/>
    <w:rsid w:val="1F940CAD"/>
    <w:rsid w:val="1FAB0BDF"/>
    <w:rsid w:val="1FAF701D"/>
    <w:rsid w:val="1FBD20EF"/>
    <w:rsid w:val="1FCC7D6F"/>
    <w:rsid w:val="1FCD656B"/>
    <w:rsid w:val="1FD034F3"/>
    <w:rsid w:val="1FF42688"/>
    <w:rsid w:val="1FF90C14"/>
    <w:rsid w:val="204300A9"/>
    <w:rsid w:val="205273BB"/>
    <w:rsid w:val="206A1A63"/>
    <w:rsid w:val="20746D43"/>
    <w:rsid w:val="208B7B0B"/>
    <w:rsid w:val="20AB27E2"/>
    <w:rsid w:val="20AC4511"/>
    <w:rsid w:val="20BB1D78"/>
    <w:rsid w:val="21021B32"/>
    <w:rsid w:val="21154190"/>
    <w:rsid w:val="21186188"/>
    <w:rsid w:val="2158729D"/>
    <w:rsid w:val="216A15EA"/>
    <w:rsid w:val="21D63C74"/>
    <w:rsid w:val="21E24AD8"/>
    <w:rsid w:val="221C1DEB"/>
    <w:rsid w:val="222C61A7"/>
    <w:rsid w:val="225228A9"/>
    <w:rsid w:val="22703B15"/>
    <w:rsid w:val="227A2AF3"/>
    <w:rsid w:val="228D497D"/>
    <w:rsid w:val="22AC60C8"/>
    <w:rsid w:val="22DE3259"/>
    <w:rsid w:val="22F00967"/>
    <w:rsid w:val="22FA4207"/>
    <w:rsid w:val="236408D1"/>
    <w:rsid w:val="237B60CA"/>
    <w:rsid w:val="2387122C"/>
    <w:rsid w:val="23910BEF"/>
    <w:rsid w:val="23DB492D"/>
    <w:rsid w:val="23E4680B"/>
    <w:rsid w:val="2400516C"/>
    <w:rsid w:val="24085A4F"/>
    <w:rsid w:val="240F4B2A"/>
    <w:rsid w:val="241A4A05"/>
    <w:rsid w:val="242A0E1D"/>
    <w:rsid w:val="243C1AFE"/>
    <w:rsid w:val="24CE030D"/>
    <w:rsid w:val="24DC3EAB"/>
    <w:rsid w:val="25121BF8"/>
    <w:rsid w:val="253C4217"/>
    <w:rsid w:val="255C2AE1"/>
    <w:rsid w:val="255F2490"/>
    <w:rsid w:val="25D453E1"/>
    <w:rsid w:val="26075B0A"/>
    <w:rsid w:val="26223D84"/>
    <w:rsid w:val="264819A1"/>
    <w:rsid w:val="265C1513"/>
    <w:rsid w:val="2660039C"/>
    <w:rsid w:val="26606D38"/>
    <w:rsid w:val="2664671C"/>
    <w:rsid w:val="26857903"/>
    <w:rsid w:val="26AE6FED"/>
    <w:rsid w:val="26BA5FBA"/>
    <w:rsid w:val="26CC79CE"/>
    <w:rsid w:val="26E55A24"/>
    <w:rsid w:val="26E663EF"/>
    <w:rsid w:val="26F93E83"/>
    <w:rsid w:val="270F6ADD"/>
    <w:rsid w:val="273A478E"/>
    <w:rsid w:val="2741519C"/>
    <w:rsid w:val="275A5444"/>
    <w:rsid w:val="27630099"/>
    <w:rsid w:val="276341AD"/>
    <w:rsid w:val="27683AE1"/>
    <w:rsid w:val="27A978EC"/>
    <w:rsid w:val="27B76B5A"/>
    <w:rsid w:val="27BF2F68"/>
    <w:rsid w:val="27CA6D83"/>
    <w:rsid w:val="27E12375"/>
    <w:rsid w:val="28136A8E"/>
    <w:rsid w:val="28237309"/>
    <w:rsid w:val="284847EE"/>
    <w:rsid w:val="28634B37"/>
    <w:rsid w:val="28863150"/>
    <w:rsid w:val="288F6E9F"/>
    <w:rsid w:val="28FE1EAD"/>
    <w:rsid w:val="29082B64"/>
    <w:rsid w:val="291A5959"/>
    <w:rsid w:val="291C0F62"/>
    <w:rsid w:val="29434B0F"/>
    <w:rsid w:val="295E313D"/>
    <w:rsid w:val="29726862"/>
    <w:rsid w:val="29A41DBC"/>
    <w:rsid w:val="29C158BA"/>
    <w:rsid w:val="29E01545"/>
    <w:rsid w:val="29F84E47"/>
    <w:rsid w:val="2A0C7713"/>
    <w:rsid w:val="2A1D79BB"/>
    <w:rsid w:val="2A3E75AD"/>
    <w:rsid w:val="2A972E22"/>
    <w:rsid w:val="2ABF3381"/>
    <w:rsid w:val="2AD670DC"/>
    <w:rsid w:val="2ADE7F85"/>
    <w:rsid w:val="2B1B7216"/>
    <w:rsid w:val="2B3F1BB4"/>
    <w:rsid w:val="2B651481"/>
    <w:rsid w:val="2B963DEC"/>
    <w:rsid w:val="2B9F3F88"/>
    <w:rsid w:val="2BA47FE1"/>
    <w:rsid w:val="2BAC310F"/>
    <w:rsid w:val="2BEF52F3"/>
    <w:rsid w:val="2C0C0ED2"/>
    <w:rsid w:val="2C1852E4"/>
    <w:rsid w:val="2C8B1289"/>
    <w:rsid w:val="2CC16B39"/>
    <w:rsid w:val="2CEA64D5"/>
    <w:rsid w:val="2CEC49A4"/>
    <w:rsid w:val="2CF43625"/>
    <w:rsid w:val="2D1437B2"/>
    <w:rsid w:val="2D1903E2"/>
    <w:rsid w:val="2D1E3173"/>
    <w:rsid w:val="2D3421AB"/>
    <w:rsid w:val="2D3C4EF7"/>
    <w:rsid w:val="2D550B77"/>
    <w:rsid w:val="2E4269B1"/>
    <w:rsid w:val="2E6618E5"/>
    <w:rsid w:val="2EA1006E"/>
    <w:rsid w:val="2EA25052"/>
    <w:rsid w:val="2EAF48C6"/>
    <w:rsid w:val="2EE8623C"/>
    <w:rsid w:val="2EEC7E83"/>
    <w:rsid w:val="2EF335AC"/>
    <w:rsid w:val="2F043748"/>
    <w:rsid w:val="2F0B30A1"/>
    <w:rsid w:val="2F4B243D"/>
    <w:rsid w:val="2F522711"/>
    <w:rsid w:val="2F806B20"/>
    <w:rsid w:val="2F867577"/>
    <w:rsid w:val="2F9034C9"/>
    <w:rsid w:val="2FB70894"/>
    <w:rsid w:val="2FE7047C"/>
    <w:rsid w:val="2FF80391"/>
    <w:rsid w:val="301D5D54"/>
    <w:rsid w:val="30370228"/>
    <w:rsid w:val="3044147F"/>
    <w:rsid w:val="30690741"/>
    <w:rsid w:val="306E1479"/>
    <w:rsid w:val="30750496"/>
    <w:rsid w:val="307B30AF"/>
    <w:rsid w:val="30956EBE"/>
    <w:rsid w:val="30C022A0"/>
    <w:rsid w:val="30C3381E"/>
    <w:rsid w:val="30D77998"/>
    <w:rsid w:val="31403EBD"/>
    <w:rsid w:val="31472444"/>
    <w:rsid w:val="319A7585"/>
    <w:rsid w:val="31A81316"/>
    <w:rsid w:val="31C330CE"/>
    <w:rsid w:val="31D32D7D"/>
    <w:rsid w:val="31D42917"/>
    <w:rsid w:val="32282E69"/>
    <w:rsid w:val="3237025A"/>
    <w:rsid w:val="32B1690A"/>
    <w:rsid w:val="32B44A46"/>
    <w:rsid w:val="32B73C26"/>
    <w:rsid w:val="32CF12F7"/>
    <w:rsid w:val="3309466A"/>
    <w:rsid w:val="331329E4"/>
    <w:rsid w:val="33366BF9"/>
    <w:rsid w:val="333A68C8"/>
    <w:rsid w:val="334350DC"/>
    <w:rsid w:val="334607E7"/>
    <w:rsid w:val="335465E4"/>
    <w:rsid w:val="33756B32"/>
    <w:rsid w:val="33AB3374"/>
    <w:rsid w:val="33B142B7"/>
    <w:rsid w:val="33BE20D0"/>
    <w:rsid w:val="34136F86"/>
    <w:rsid w:val="34582372"/>
    <w:rsid w:val="347822F5"/>
    <w:rsid w:val="347C6B46"/>
    <w:rsid w:val="348C61C4"/>
    <w:rsid w:val="349C1462"/>
    <w:rsid w:val="34BD7940"/>
    <w:rsid w:val="34BE5CAA"/>
    <w:rsid w:val="34D23867"/>
    <w:rsid w:val="34D4348E"/>
    <w:rsid w:val="34FD3310"/>
    <w:rsid w:val="353E4EE3"/>
    <w:rsid w:val="3587410B"/>
    <w:rsid w:val="358C4A8A"/>
    <w:rsid w:val="3596698E"/>
    <w:rsid w:val="359E03A3"/>
    <w:rsid w:val="35DB00BD"/>
    <w:rsid w:val="360B4E8E"/>
    <w:rsid w:val="36270398"/>
    <w:rsid w:val="363D08CC"/>
    <w:rsid w:val="36490D51"/>
    <w:rsid w:val="367C559F"/>
    <w:rsid w:val="369030E0"/>
    <w:rsid w:val="36932551"/>
    <w:rsid w:val="369F6D06"/>
    <w:rsid w:val="36AB1CEE"/>
    <w:rsid w:val="36CB3291"/>
    <w:rsid w:val="36D90A1F"/>
    <w:rsid w:val="36E6312A"/>
    <w:rsid w:val="37007ED9"/>
    <w:rsid w:val="3707054F"/>
    <w:rsid w:val="37433B9B"/>
    <w:rsid w:val="377F6D96"/>
    <w:rsid w:val="37BA1243"/>
    <w:rsid w:val="37BA4BDF"/>
    <w:rsid w:val="37BB216B"/>
    <w:rsid w:val="37BC719F"/>
    <w:rsid w:val="37E6496D"/>
    <w:rsid w:val="381973C0"/>
    <w:rsid w:val="383343FC"/>
    <w:rsid w:val="38676C8B"/>
    <w:rsid w:val="386801E6"/>
    <w:rsid w:val="38792449"/>
    <w:rsid w:val="387C2B0E"/>
    <w:rsid w:val="389C3258"/>
    <w:rsid w:val="38A3130A"/>
    <w:rsid w:val="38A5476C"/>
    <w:rsid w:val="38C01FCA"/>
    <w:rsid w:val="38CB7E89"/>
    <w:rsid w:val="38D01637"/>
    <w:rsid w:val="38D03369"/>
    <w:rsid w:val="38D4251F"/>
    <w:rsid w:val="38DC46AE"/>
    <w:rsid w:val="38E451C2"/>
    <w:rsid w:val="390312A2"/>
    <w:rsid w:val="394D7C2B"/>
    <w:rsid w:val="3952595F"/>
    <w:rsid w:val="39650E24"/>
    <w:rsid w:val="397D387E"/>
    <w:rsid w:val="398C5E72"/>
    <w:rsid w:val="39C96790"/>
    <w:rsid w:val="39CB3DA8"/>
    <w:rsid w:val="39CF6825"/>
    <w:rsid w:val="39E65057"/>
    <w:rsid w:val="39F97ED3"/>
    <w:rsid w:val="3A042116"/>
    <w:rsid w:val="3A087D52"/>
    <w:rsid w:val="3A101B16"/>
    <w:rsid w:val="3A176550"/>
    <w:rsid w:val="3A2B22F7"/>
    <w:rsid w:val="3A630BD5"/>
    <w:rsid w:val="3AD3624B"/>
    <w:rsid w:val="3AEA2A44"/>
    <w:rsid w:val="3AFF2C90"/>
    <w:rsid w:val="3AFF4A73"/>
    <w:rsid w:val="3B1523C6"/>
    <w:rsid w:val="3B18752E"/>
    <w:rsid w:val="3B1D1019"/>
    <w:rsid w:val="3B207C1A"/>
    <w:rsid w:val="3B3C0357"/>
    <w:rsid w:val="3B5312FC"/>
    <w:rsid w:val="3B703897"/>
    <w:rsid w:val="3B8F4DE7"/>
    <w:rsid w:val="3B92496B"/>
    <w:rsid w:val="3B9B2504"/>
    <w:rsid w:val="3BB368FC"/>
    <w:rsid w:val="3BC232AE"/>
    <w:rsid w:val="3BD115E3"/>
    <w:rsid w:val="3BF27BCF"/>
    <w:rsid w:val="3BFF69F6"/>
    <w:rsid w:val="3C29301A"/>
    <w:rsid w:val="3C2A1CC6"/>
    <w:rsid w:val="3C2A3907"/>
    <w:rsid w:val="3C362055"/>
    <w:rsid w:val="3C5B5487"/>
    <w:rsid w:val="3C805A69"/>
    <w:rsid w:val="3C82673E"/>
    <w:rsid w:val="3C890B40"/>
    <w:rsid w:val="3C9A75CD"/>
    <w:rsid w:val="3CA662E8"/>
    <w:rsid w:val="3CAC5196"/>
    <w:rsid w:val="3CBA6CAE"/>
    <w:rsid w:val="3CE257BB"/>
    <w:rsid w:val="3D2A52D3"/>
    <w:rsid w:val="3D347300"/>
    <w:rsid w:val="3D371CE2"/>
    <w:rsid w:val="3D4C44DA"/>
    <w:rsid w:val="3D4E29CB"/>
    <w:rsid w:val="3D780066"/>
    <w:rsid w:val="3DC37E52"/>
    <w:rsid w:val="3DE30437"/>
    <w:rsid w:val="3DE50A89"/>
    <w:rsid w:val="3DEF2AAF"/>
    <w:rsid w:val="3E03718C"/>
    <w:rsid w:val="3E056C51"/>
    <w:rsid w:val="3E400433"/>
    <w:rsid w:val="3E42243E"/>
    <w:rsid w:val="3E48647A"/>
    <w:rsid w:val="3E5A1D55"/>
    <w:rsid w:val="3E5C1C90"/>
    <w:rsid w:val="3E680ED2"/>
    <w:rsid w:val="3EB916EC"/>
    <w:rsid w:val="3ECA01A1"/>
    <w:rsid w:val="3ED55C02"/>
    <w:rsid w:val="3F063EFF"/>
    <w:rsid w:val="3F095A8D"/>
    <w:rsid w:val="3F100D38"/>
    <w:rsid w:val="3F15473E"/>
    <w:rsid w:val="3F1B4431"/>
    <w:rsid w:val="3F5844C5"/>
    <w:rsid w:val="3FC7317D"/>
    <w:rsid w:val="3FEF086B"/>
    <w:rsid w:val="3FF74BF3"/>
    <w:rsid w:val="400C09CA"/>
    <w:rsid w:val="400F0985"/>
    <w:rsid w:val="40286715"/>
    <w:rsid w:val="40354C7B"/>
    <w:rsid w:val="40380095"/>
    <w:rsid w:val="403C7F31"/>
    <w:rsid w:val="40577FC9"/>
    <w:rsid w:val="40F5414B"/>
    <w:rsid w:val="40FF4AF1"/>
    <w:rsid w:val="41124EE6"/>
    <w:rsid w:val="411C1436"/>
    <w:rsid w:val="412F3326"/>
    <w:rsid w:val="414B7682"/>
    <w:rsid w:val="415228BA"/>
    <w:rsid w:val="41760D1B"/>
    <w:rsid w:val="417C58E1"/>
    <w:rsid w:val="41A814A5"/>
    <w:rsid w:val="41AB3120"/>
    <w:rsid w:val="41F84FF7"/>
    <w:rsid w:val="42A0234B"/>
    <w:rsid w:val="42B86496"/>
    <w:rsid w:val="42C35217"/>
    <w:rsid w:val="42D7188C"/>
    <w:rsid w:val="42E81CAF"/>
    <w:rsid w:val="43023750"/>
    <w:rsid w:val="430516EA"/>
    <w:rsid w:val="430B1EFC"/>
    <w:rsid w:val="4317322A"/>
    <w:rsid w:val="432E6D6F"/>
    <w:rsid w:val="43305C80"/>
    <w:rsid w:val="435412B8"/>
    <w:rsid w:val="43666252"/>
    <w:rsid w:val="43783D27"/>
    <w:rsid w:val="4390141C"/>
    <w:rsid w:val="43B5765B"/>
    <w:rsid w:val="445648C3"/>
    <w:rsid w:val="44647472"/>
    <w:rsid w:val="44666302"/>
    <w:rsid w:val="44A70428"/>
    <w:rsid w:val="44A72F03"/>
    <w:rsid w:val="45022B85"/>
    <w:rsid w:val="45022D5F"/>
    <w:rsid w:val="45190D07"/>
    <w:rsid w:val="451E281E"/>
    <w:rsid w:val="452A085B"/>
    <w:rsid w:val="452C72B7"/>
    <w:rsid w:val="45420324"/>
    <w:rsid w:val="45571DF7"/>
    <w:rsid w:val="455E25D1"/>
    <w:rsid w:val="4563705D"/>
    <w:rsid w:val="45904ACF"/>
    <w:rsid w:val="45B10782"/>
    <w:rsid w:val="45CC05D8"/>
    <w:rsid w:val="45F95B4D"/>
    <w:rsid w:val="460452A0"/>
    <w:rsid w:val="46135F32"/>
    <w:rsid w:val="46262176"/>
    <w:rsid w:val="464F5CAD"/>
    <w:rsid w:val="4680445C"/>
    <w:rsid w:val="468E4477"/>
    <w:rsid w:val="46911CEA"/>
    <w:rsid w:val="46922D19"/>
    <w:rsid w:val="46DB5B28"/>
    <w:rsid w:val="46DE7987"/>
    <w:rsid w:val="47176D8E"/>
    <w:rsid w:val="4742191A"/>
    <w:rsid w:val="474E1E6C"/>
    <w:rsid w:val="47BD2E26"/>
    <w:rsid w:val="47C460CD"/>
    <w:rsid w:val="47ED7CEE"/>
    <w:rsid w:val="483C4B9E"/>
    <w:rsid w:val="48447159"/>
    <w:rsid w:val="48677222"/>
    <w:rsid w:val="486977C7"/>
    <w:rsid w:val="48A56E07"/>
    <w:rsid w:val="48D46BC0"/>
    <w:rsid w:val="48E25783"/>
    <w:rsid w:val="48E55B55"/>
    <w:rsid w:val="490B6C14"/>
    <w:rsid w:val="49343FC1"/>
    <w:rsid w:val="49626EB7"/>
    <w:rsid w:val="49742590"/>
    <w:rsid w:val="497547CF"/>
    <w:rsid w:val="49D87E02"/>
    <w:rsid w:val="49DA4936"/>
    <w:rsid w:val="49E1067B"/>
    <w:rsid w:val="49E65E9A"/>
    <w:rsid w:val="49F00219"/>
    <w:rsid w:val="49F038BD"/>
    <w:rsid w:val="4A0C6576"/>
    <w:rsid w:val="4A131739"/>
    <w:rsid w:val="4A3F1C6E"/>
    <w:rsid w:val="4A42520C"/>
    <w:rsid w:val="4A5C7A81"/>
    <w:rsid w:val="4A7953F9"/>
    <w:rsid w:val="4A7F7023"/>
    <w:rsid w:val="4A833CCA"/>
    <w:rsid w:val="4A9B20E2"/>
    <w:rsid w:val="4AA27E36"/>
    <w:rsid w:val="4ADF6DFE"/>
    <w:rsid w:val="4ADF7733"/>
    <w:rsid w:val="4AF220B2"/>
    <w:rsid w:val="4B0D3F9B"/>
    <w:rsid w:val="4B1469C0"/>
    <w:rsid w:val="4B2765EA"/>
    <w:rsid w:val="4B2B6CF9"/>
    <w:rsid w:val="4B6005EF"/>
    <w:rsid w:val="4B7F3FBA"/>
    <w:rsid w:val="4B8128F4"/>
    <w:rsid w:val="4B83292A"/>
    <w:rsid w:val="4BD52A4E"/>
    <w:rsid w:val="4BEC5326"/>
    <w:rsid w:val="4C1A29A2"/>
    <w:rsid w:val="4C242FF7"/>
    <w:rsid w:val="4C755D10"/>
    <w:rsid w:val="4CB85404"/>
    <w:rsid w:val="4CC42BA6"/>
    <w:rsid w:val="4CD452CB"/>
    <w:rsid w:val="4CEB1DC3"/>
    <w:rsid w:val="4D04384B"/>
    <w:rsid w:val="4D2D65AC"/>
    <w:rsid w:val="4D3223EC"/>
    <w:rsid w:val="4D7057DD"/>
    <w:rsid w:val="4D98120C"/>
    <w:rsid w:val="4DA402B8"/>
    <w:rsid w:val="4DC32884"/>
    <w:rsid w:val="4DD64716"/>
    <w:rsid w:val="4DE37B55"/>
    <w:rsid w:val="4DF54F33"/>
    <w:rsid w:val="4DF83ADA"/>
    <w:rsid w:val="4DFE7DDE"/>
    <w:rsid w:val="4E472E47"/>
    <w:rsid w:val="4E4B4187"/>
    <w:rsid w:val="4E4E2195"/>
    <w:rsid w:val="4E581E19"/>
    <w:rsid w:val="4E797966"/>
    <w:rsid w:val="4E896E0B"/>
    <w:rsid w:val="4E897021"/>
    <w:rsid w:val="4E962538"/>
    <w:rsid w:val="4EA0534F"/>
    <w:rsid w:val="4EBD7110"/>
    <w:rsid w:val="4EDB02A0"/>
    <w:rsid w:val="4F074EBE"/>
    <w:rsid w:val="4F490012"/>
    <w:rsid w:val="4F55325D"/>
    <w:rsid w:val="4F655F44"/>
    <w:rsid w:val="4FC75E86"/>
    <w:rsid w:val="4FC9625A"/>
    <w:rsid w:val="4FD219BF"/>
    <w:rsid w:val="4FDD7954"/>
    <w:rsid w:val="4FE40265"/>
    <w:rsid w:val="4FF73DCE"/>
    <w:rsid w:val="50265478"/>
    <w:rsid w:val="502D5AAE"/>
    <w:rsid w:val="502E108E"/>
    <w:rsid w:val="5038327F"/>
    <w:rsid w:val="504F5FB3"/>
    <w:rsid w:val="505F01DE"/>
    <w:rsid w:val="507F2019"/>
    <w:rsid w:val="5085256B"/>
    <w:rsid w:val="50883443"/>
    <w:rsid w:val="50B264B8"/>
    <w:rsid w:val="50DE6724"/>
    <w:rsid w:val="510C3D6B"/>
    <w:rsid w:val="512E73AD"/>
    <w:rsid w:val="51302C35"/>
    <w:rsid w:val="51343071"/>
    <w:rsid w:val="513B7EA1"/>
    <w:rsid w:val="513F6963"/>
    <w:rsid w:val="514465DA"/>
    <w:rsid w:val="51523D7D"/>
    <w:rsid w:val="51725C58"/>
    <w:rsid w:val="518A24A0"/>
    <w:rsid w:val="51AD5279"/>
    <w:rsid w:val="51D120F2"/>
    <w:rsid w:val="51D62467"/>
    <w:rsid w:val="51DD04CA"/>
    <w:rsid w:val="522F4687"/>
    <w:rsid w:val="527C4A2D"/>
    <w:rsid w:val="5283494B"/>
    <w:rsid w:val="52B07B8F"/>
    <w:rsid w:val="52DA1F67"/>
    <w:rsid w:val="52DC1233"/>
    <w:rsid w:val="53260AAA"/>
    <w:rsid w:val="53500D51"/>
    <w:rsid w:val="5350481B"/>
    <w:rsid w:val="53805D67"/>
    <w:rsid w:val="539E17A0"/>
    <w:rsid w:val="53B532CF"/>
    <w:rsid w:val="53C515E2"/>
    <w:rsid w:val="53CC502D"/>
    <w:rsid w:val="53DD2A43"/>
    <w:rsid w:val="53F45053"/>
    <w:rsid w:val="53FC01FB"/>
    <w:rsid w:val="54044960"/>
    <w:rsid w:val="54054510"/>
    <w:rsid w:val="541226B6"/>
    <w:rsid w:val="543C54DD"/>
    <w:rsid w:val="54623D30"/>
    <w:rsid w:val="546663A5"/>
    <w:rsid w:val="54684AF8"/>
    <w:rsid w:val="54795CA3"/>
    <w:rsid w:val="548B70F8"/>
    <w:rsid w:val="54952DD2"/>
    <w:rsid w:val="54985012"/>
    <w:rsid w:val="54AA6BFF"/>
    <w:rsid w:val="54AD2A7D"/>
    <w:rsid w:val="54B70DF0"/>
    <w:rsid w:val="54F66DF0"/>
    <w:rsid w:val="55044115"/>
    <w:rsid w:val="55102B21"/>
    <w:rsid w:val="551A04D3"/>
    <w:rsid w:val="552247B5"/>
    <w:rsid w:val="553C20AD"/>
    <w:rsid w:val="557D0674"/>
    <w:rsid w:val="55B436E3"/>
    <w:rsid w:val="55D93EB7"/>
    <w:rsid w:val="55E75EB7"/>
    <w:rsid w:val="562B749E"/>
    <w:rsid w:val="564B2680"/>
    <w:rsid w:val="565D465B"/>
    <w:rsid w:val="566D4B4A"/>
    <w:rsid w:val="5677609D"/>
    <w:rsid w:val="56945F1A"/>
    <w:rsid w:val="56B52743"/>
    <w:rsid w:val="570074C9"/>
    <w:rsid w:val="57413838"/>
    <w:rsid w:val="574B7586"/>
    <w:rsid w:val="574F23F9"/>
    <w:rsid w:val="576C7516"/>
    <w:rsid w:val="57875755"/>
    <w:rsid w:val="579F170B"/>
    <w:rsid w:val="57AB4FF3"/>
    <w:rsid w:val="57DE4B2F"/>
    <w:rsid w:val="580F0828"/>
    <w:rsid w:val="581B2ACA"/>
    <w:rsid w:val="58534B28"/>
    <w:rsid w:val="588C5CB7"/>
    <w:rsid w:val="589B6EE0"/>
    <w:rsid w:val="58AB3A34"/>
    <w:rsid w:val="58E24023"/>
    <w:rsid w:val="58E43783"/>
    <w:rsid w:val="58E86982"/>
    <w:rsid w:val="58F55A69"/>
    <w:rsid w:val="58FB55FE"/>
    <w:rsid w:val="592379E6"/>
    <w:rsid w:val="592A1998"/>
    <w:rsid w:val="5969395A"/>
    <w:rsid w:val="598125F8"/>
    <w:rsid w:val="59882FF0"/>
    <w:rsid w:val="59A60F5A"/>
    <w:rsid w:val="59B94CC4"/>
    <w:rsid w:val="59BB36C4"/>
    <w:rsid w:val="59E52814"/>
    <w:rsid w:val="5A091FF8"/>
    <w:rsid w:val="5A0F4F36"/>
    <w:rsid w:val="5A1541AB"/>
    <w:rsid w:val="5A1A1EDB"/>
    <w:rsid w:val="5A2A4B14"/>
    <w:rsid w:val="5A2E1CC0"/>
    <w:rsid w:val="5A2F59C3"/>
    <w:rsid w:val="5A5B5B65"/>
    <w:rsid w:val="5A7C1EC2"/>
    <w:rsid w:val="5AD71A23"/>
    <w:rsid w:val="5ADC40E2"/>
    <w:rsid w:val="5AEF3DDE"/>
    <w:rsid w:val="5AF8583C"/>
    <w:rsid w:val="5AFD2105"/>
    <w:rsid w:val="5B01360B"/>
    <w:rsid w:val="5B14044F"/>
    <w:rsid w:val="5B5C33C7"/>
    <w:rsid w:val="5B846642"/>
    <w:rsid w:val="5B9345DE"/>
    <w:rsid w:val="5B94158A"/>
    <w:rsid w:val="5B9D0974"/>
    <w:rsid w:val="5BBD1564"/>
    <w:rsid w:val="5BC430F1"/>
    <w:rsid w:val="5BE50578"/>
    <w:rsid w:val="5BEC3B59"/>
    <w:rsid w:val="5C1652F9"/>
    <w:rsid w:val="5C8D77D5"/>
    <w:rsid w:val="5C9C4FCB"/>
    <w:rsid w:val="5CBD3922"/>
    <w:rsid w:val="5CD71012"/>
    <w:rsid w:val="5CEF72BA"/>
    <w:rsid w:val="5CF70434"/>
    <w:rsid w:val="5CF801D7"/>
    <w:rsid w:val="5D1854CD"/>
    <w:rsid w:val="5D553A95"/>
    <w:rsid w:val="5D62009E"/>
    <w:rsid w:val="5D6A7B0E"/>
    <w:rsid w:val="5D994942"/>
    <w:rsid w:val="5D997FD9"/>
    <w:rsid w:val="5DA3557D"/>
    <w:rsid w:val="5DB700E1"/>
    <w:rsid w:val="5DBB2B4B"/>
    <w:rsid w:val="5DD34AD1"/>
    <w:rsid w:val="5DD80051"/>
    <w:rsid w:val="5DD95F90"/>
    <w:rsid w:val="5DF62F70"/>
    <w:rsid w:val="5E20798B"/>
    <w:rsid w:val="5E356F1F"/>
    <w:rsid w:val="5E4D4722"/>
    <w:rsid w:val="5E6E6249"/>
    <w:rsid w:val="5E7B60DB"/>
    <w:rsid w:val="5E8A188B"/>
    <w:rsid w:val="5EAB3CC7"/>
    <w:rsid w:val="5EB82B7B"/>
    <w:rsid w:val="5EC42611"/>
    <w:rsid w:val="5EF126C0"/>
    <w:rsid w:val="5F090A89"/>
    <w:rsid w:val="5F0D28BD"/>
    <w:rsid w:val="5F4D22BA"/>
    <w:rsid w:val="5F65734B"/>
    <w:rsid w:val="5F99442C"/>
    <w:rsid w:val="5FB742C5"/>
    <w:rsid w:val="5FEE24CA"/>
    <w:rsid w:val="600B4EFB"/>
    <w:rsid w:val="601F4BAF"/>
    <w:rsid w:val="602045A6"/>
    <w:rsid w:val="604A23F9"/>
    <w:rsid w:val="60637F52"/>
    <w:rsid w:val="60931426"/>
    <w:rsid w:val="60A0423D"/>
    <w:rsid w:val="60BC0D77"/>
    <w:rsid w:val="610C4ACE"/>
    <w:rsid w:val="612D05BB"/>
    <w:rsid w:val="613F5A78"/>
    <w:rsid w:val="619418EC"/>
    <w:rsid w:val="61AC418E"/>
    <w:rsid w:val="61E41603"/>
    <w:rsid w:val="62154DF7"/>
    <w:rsid w:val="6216083E"/>
    <w:rsid w:val="62647C14"/>
    <w:rsid w:val="626F7F7D"/>
    <w:rsid w:val="62A139F3"/>
    <w:rsid w:val="62A6516A"/>
    <w:rsid w:val="62AE41D6"/>
    <w:rsid w:val="62B86D9B"/>
    <w:rsid w:val="62CF32E1"/>
    <w:rsid w:val="62D5076A"/>
    <w:rsid w:val="62DE49DD"/>
    <w:rsid w:val="62E515D1"/>
    <w:rsid w:val="62ED6AB2"/>
    <w:rsid w:val="62F67FC2"/>
    <w:rsid w:val="62F76189"/>
    <w:rsid w:val="630C516B"/>
    <w:rsid w:val="6336142F"/>
    <w:rsid w:val="634351B6"/>
    <w:rsid w:val="6387254A"/>
    <w:rsid w:val="638D4F38"/>
    <w:rsid w:val="63BB29E2"/>
    <w:rsid w:val="63EE7BC2"/>
    <w:rsid w:val="64116F3E"/>
    <w:rsid w:val="641D2495"/>
    <w:rsid w:val="643B1BC5"/>
    <w:rsid w:val="649B63D6"/>
    <w:rsid w:val="64A70088"/>
    <w:rsid w:val="64E05C3C"/>
    <w:rsid w:val="65031AFB"/>
    <w:rsid w:val="65164C0C"/>
    <w:rsid w:val="65293523"/>
    <w:rsid w:val="654A176D"/>
    <w:rsid w:val="65572F42"/>
    <w:rsid w:val="656475AC"/>
    <w:rsid w:val="656D04E3"/>
    <w:rsid w:val="656E012E"/>
    <w:rsid w:val="65875B16"/>
    <w:rsid w:val="658E4991"/>
    <w:rsid w:val="65B449B7"/>
    <w:rsid w:val="65C308A8"/>
    <w:rsid w:val="65D163E1"/>
    <w:rsid w:val="66072ECE"/>
    <w:rsid w:val="660F474C"/>
    <w:rsid w:val="661A5498"/>
    <w:rsid w:val="66540846"/>
    <w:rsid w:val="668506CA"/>
    <w:rsid w:val="668A3617"/>
    <w:rsid w:val="668C5F71"/>
    <w:rsid w:val="668C6957"/>
    <w:rsid w:val="66981E41"/>
    <w:rsid w:val="66C73865"/>
    <w:rsid w:val="66D90E7D"/>
    <w:rsid w:val="66E069BA"/>
    <w:rsid w:val="66EF7A62"/>
    <w:rsid w:val="66F31B42"/>
    <w:rsid w:val="674D3F5C"/>
    <w:rsid w:val="67A6286D"/>
    <w:rsid w:val="67B93CA4"/>
    <w:rsid w:val="67DA4B2A"/>
    <w:rsid w:val="6802710A"/>
    <w:rsid w:val="680A47AA"/>
    <w:rsid w:val="680C0846"/>
    <w:rsid w:val="68317660"/>
    <w:rsid w:val="68425993"/>
    <w:rsid w:val="68C10D9F"/>
    <w:rsid w:val="690872DE"/>
    <w:rsid w:val="69354EE3"/>
    <w:rsid w:val="695E1C38"/>
    <w:rsid w:val="69681D89"/>
    <w:rsid w:val="699604A0"/>
    <w:rsid w:val="69981BB6"/>
    <w:rsid w:val="699C7570"/>
    <w:rsid w:val="69A75110"/>
    <w:rsid w:val="69AF003E"/>
    <w:rsid w:val="69CD52B0"/>
    <w:rsid w:val="69DC2843"/>
    <w:rsid w:val="69F830AA"/>
    <w:rsid w:val="6A085CBE"/>
    <w:rsid w:val="6A153A67"/>
    <w:rsid w:val="6A3F352D"/>
    <w:rsid w:val="6A4C344E"/>
    <w:rsid w:val="6A4E7A1A"/>
    <w:rsid w:val="6A5F3D6D"/>
    <w:rsid w:val="6A855576"/>
    <w:rsid w:val="6AFE36E2"/>
    <w:rsid w:val="6B185C86"/>
    <w:rsid w:val="6B2D3621"/>
    <w:rsid w:val="6B575AA1"/>
    <w:rsid w:val="6B860B2F"/>
    <w:rsid w:val="6B940198"/>
    <w:rsid w:val="6BD541E5"/>
    <w:rsid w:val="6BD61A29"/>
    <w:rsid w:val="6BD96D03"/>
    <w:rsid w:val="6BDC24CE"/>
    <w:rsid w:val="6C12377A"/>
    <w:rsid w:val="6C226508"/>
    <w:rsid w:val="6C2D1DCF"/>
    <w:rsid w:val="6C4930E9"/>
    <w:rsid w:val="6C62779B"/>
    <w:rsid w:val="6C9838C1"/>
    <w:rsid w:val="6D110D3B"/>
    <w:rsid w:val="6D8110C5"/>
    <w:rsid w:val="6D8B4F45"/>
    <w:rsid w:val="6DA0283D"/>
    <w:rsid w:val="6DAD6052"/>
    <w:rsid w:val="6E166BAF"/>
    <w:rsid w:val="6E185853"/>
    <w:rsid w:val="6E344AD2"/>
    <w:rsid w:val="6E53210F"/>
    <w:rsid w:val="6E603223"/>
    <w:rsid w:val="6E716270"/>
    <w:rsid w:val="6E8639DF"/>
    <w:rsid w:val="6E962605"/>
    <w:rsid w:val="6ED11026"/>
    <w:rsid w:val="6EFA4931"/>
    <w:rsid w:val="6F032C16"/>
    <w:rsid w:val="6F0C63C1"/>
    <w:rsid w:val="6F1A4A00"/>
    <w:rsid w:val="6F265DA7"/>
    <w:rsid w:val="6F57340B"/>
    <w:rsid w:val="6F69715D"/>
    <w:rsid w:val="6F6D5164"/>
    <w:rsid w:val="6F7F0787"/>
    <w:rsid w:val="6F8A2CEF"/>
    <w:rsid w:val="6FA11C8D"/>
    <w:rsid w:val="6FAB14AC"/>
    <w:rsid w:val="6FBA768F"/>
    <w:rsid w:val="6FBE4BE4"/>
    <w:rsid w:val="6FD55A73"/>
    <w:rsid w:val="6FD741DB"/>
    <w:rsid w:val="6FE66028"/>
    <w:rsid w:val="6FF834F9"/>
    <w:rsid w:val="701D72C3"/>
    <w:rsid w:val="703C6BD1"/>
    <w:rsid w:val="705848F7"/>
    <w:rsid w:val="70695608"/>
    <w:rsid w:val="708158A8"/>
    <w:rsid w:val="708563E7"/>
    <w:rsid w:val="708A2EFA"/>
    <w:rsid w:val="70D7457B"/>
    <w:rsid w:val="70FE2B1B"/>
    <w:rsid w:val="710366DA"/>
    <w:rsid w:val="71102171"/>
    <w:rsid w:val="71236204"/>
    <w:rsid w:val="71251EAB"/>
    <w:rsid w:val="71280582"/>
    <w:rsid w:val="71443908"/>
    <w:rsid w:val="71767BA9"/>
    <w:rsid w:val="719240DC"/>
    <w:rsid w:val="71A617F5"/>
    <w:rsid w:val="71CF1689"/>
    <w:rsid w:val="71D45FDB"/>
    <w:rsid w:val="71DC1DC3"/>
    <w:rsid w:val="71EF13EC"/>
    <w:rsid w:val="720037E0"/>
    <w:rsid w:val="72307E9B"/>
    <w:rsid w:val="723776B9"/>
    <w:rsid w:val="723C6FE6"/>
    <w:rsid w:val="7243144C"/>
    <w:rsid w:val="72675B00"/>
    <w:rsid w:val="7274672F"/>
    <w:rsid w:val="72BA5DEC"/>
    <w:rsid w:val="72BB1D45"/>
    <w:rsid w:val="72D71F6D"/>
    <w:rsid w:val="72DC485D"/>
    <w:rsid w:val="72F0419A"/>
    <w:rsid w:val="730C528C"/>
    <w:rsid w:val="73103064"/>
    <w:rsid w:val="731D0112"/>
    <w:rsid w:val="732B0918"/>
    <w:rsid w:val="73315A5F"/>
    <w:rsid w:val="734F32B4"/>
    <w:rsid w:val="736154DB"/>
    <w:rsid w:val="736A21A7"/>
    <w:rsid w:val="737C3F12"/>
    <w:rsid w:val="738F170E"/>
    <w:rsid w:val="73917677"/>
    <w:rsid w:val="73CA79AA"/>
    <w:rsid w:val="73DA2C89"/>
    <w:rsid w:val="741061B9"/>
    <w:rsid w:val="74555F51"/>
    <w:rsid w:val="74805CED"/>
    <w:rsid w:val="74980BD6"/>
    <w:rsid w:val="749A0D61"/>
    <w:rsid w:val="74B54A08"/>
    <w:rsid w:val="74C6370C"/>
    <w:rsid w:val="74D75CB7"/>
    <w:rsid w:val="74E101A1"/>
    <w:rsid w:val="74E36AFB"/>
    <w:rsid w:val="750B14D3"/>
    <w:rsid w:val="75241A48"/>
    <w:rsid w:val="753B6235"/>
    <w:rsid w:val="753C5E12"/>
    <w:rsid w:val="754C75A2"/>
    <w:rsid w:val="759253B8"/>
    <w:rsid w:val="759D13E0"/>
    <w:rsid w:val="75FE1688"/>
    <w:rsid w:val="76615ED4"/>
    <w:rsid w:val="768F1066"/>
    <w:rsid w:val="769B64F7"/>
    <w:rsid w:val="76A606E2"/>
    <w:rsid w:val="76C15146"/>
    <w:rsid w:val="76E3019D"/>
    <w:rsid w:val="76FF6F67"/>
    <w:rsid w:val="77060C27"/>
    <w:rsid w:val="7748156F"/>
    <w:rsid w:val="774A252E"/>
    <w:rsid w:val="77581AA8"/>
    <w:rsid w:val="77625E38"/>
    <w:rsid w:val="7793231D"/>
    <w:rsid w:val="77B576D1"/>
    <w:rsid w:val="77F50EA0"/>
    <w:rsid w:val="780F1937"/>
    <w:rsid w:val="7812493C"/>
    <w:rsid w:val="781E08EF"/>
    <w:rsid w:val="78326CDB"/>
    <w:rsid w:val="78DA259B"/>
    <w:rsid w:val="78DC3EBE"/>
    <w:rsid w:val="791D2B9A"/>
    <w:rsid w:val="791D4884"/>
    <w:rsid w:val="79243E4D"/>
    <w:rsid w:val="79361073"/>
    <w:rsid w:val="79444F92"/>
    <w:rsid w:val="79637803"/>
    <w:rsid w:val="79754EDE"/>
    <w:rsid w:val="79962469"/>
    <w:rsid w:val="79A37786"/>
    <w:rsid w:val="79AA5728"/>
    <w:rsid w:val="79C0707A"/>
    <w:rsid w:val="79C40109"/>
    <w:rsid w:val="7A406248"/>
    <w:rsid w:val="7A895323"/>
    <w:rsid w:val="7AF2461F"/>
    <w:rsid w:val="7AF36489"/>
    <w:rsid w:val="7B0C637C"/>
    <w:rsid w:val="7B37514D"/>
    <w:rsid w:val="7B4D1E6F"/>
    <w:rsid w:val="7B7F35A7"/>
    <w:rsid w:val="7BBD725D"/>
    <w:rsid w:val="7C22333A"/>
    <w:rsid w:val="7C8700E6"/>
    <w:rsid w:val="7C9C3988"/>
    <w:rsid w:val="7CA35304"/>
    <w:rsid w:val="7CA722E8"/>
    <w:rsid w:val="7CAF2272"/>
    <w:rsid w:val="7CC85893"/>
    <w:rsid w:val="7CD62CB7"/>
    <w:rsid w:val="7CDC2114"/>
    <w:rsid w:val="7CE62CF7"/>
    <w:rsid w:val="7CEE274A"/>
    <w:rsid w:val="7CF61F92"/>
    <w:rsid w:val="7D2379CC"/>
    <w:rsid w:val="7D3540BD"/>
    <w:rsid w:val="7D463477"/>
    <w:rsid w:val="7D4E0B4C"/>
    <w:rsid w:val="7D752A04"/>
    <w:rsid w:val="7D9F5F86"/>
    <w:rsid w:val="7DA774CB"/>
    <w:rsid w:val="7DC6348F"/>
    <w:rsid w:val="7DEF3C6D"/>
    <w:rsid w:val="7E531D4D"/>
    <w:rsid w:val="7E5A432D"/>
    <w:rsid w:val="7E7D27AD"/>
    <w:rsid w:val="7EA34112"/>
    <w:rsid w:val="7EA97B31"/>
    <w:rsid w:val="7EBD4526"/>
    <w:rsid w:val="7ECA3B2F"/>
    <w:rsid w:val="7EE16A0A"/>
    <w:rsid w:val="7EF379BC"/>
    <w:rsid w:val="7F032706"/>
    <w:rsid w:val="7F19502E"/>
    <w:rsid w:val="7F1E3B76"/>
    <w:rsid w:val="7F571760"/>
    <w:rsid w:val="7F7346E1"/>
    <w:rsid w:val="7F816D28"/>
    <w:rsid w:val="7F8D133C"/>
    <w:rsid w:val="7F9A7CFE"/>
    <w:rsid w:val="7FE64714"/>
    <w:rsid w:val="7FF10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49"/>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Theme="minorHAnsi" w:hAnsiTheme="minorHAnsi" w:cstheme="minorHAnsi"/>
      <w:sz w:val="18"/>
      <w:szCs w:val="18"/>
    </w:rPr>
  </w:style>
  <w:style w:type="paragraph" w:styleId="7">
    <w:name w:val="Normal Indent"/>
    <w:basedOn w:val="1"/>
    <w:qFormat/>
    <w:uiPriority w:val="0"/>
    <w:pPr>
      <w:ind w:firstLine="420"/>
    </w:pPr>
  </w:style>
  <w:style w:type="paragraph" w:styleId="8">
    <w:name w:val="Document Map"/>
    <w:basedOn w:val="1"/>
    <w:qFormat/>
    <w:uiPriority w:val="0"/>
    <w:rPr>
      <w:rFonts w:ascii="宋体" w:cs="宋体"/>
      <w:sz w:val="18"/>
      <w:szCs w:val="18"/>
    </w:rPr>
  </w:style>
  <w:style w:type="paragraph" w:styleId="9">
    <w:name w:val="annotation text"/>
    <w:basedOn w:val="1"/>
    <w:link w:val="44"/>
    <w:qFormat/>
    <w:uiPriority w:val="0"/>
    <w:pPr>
      <w:jc w:val="left"/>
    </w:pPr>
    <w:rPr>
      <w:rFonts w:ascii="Times New Roman" w:hAnsi="Times New Roman"/>
      <w:szCs w:val="20"/>
    </w:rPr>
  </w:style>
  <w:style w:type="paragraph" w:styleId="10">
    <w:name w:val="Body Text 3"/>
    <w:basedOn w:val="1"/>
    <w:link w:val="45"/>
    <w:qFormat/>
    <w:uiPriority w:val="0"/>
    <w:rPr>
      <w:rFonts w:ascii="宋体"/>
      <w:sz w:val="24"/>
      <w:szCs w:val="20"/>
    </w:rPr>
  </w:style>
  <w:style w:type="paragraph" w:styleId="11">
    <w:name w:val="Body Text"/>
    <w:basedOn w:val="1"/>
    <w:qFormat/>
    <w:uiPriority w:val="0"/>
    <w:pPr>
      <w:spacing w:line="360" w:lineRule="auto"/>
    </w:pPr>
    <w:rPr>
      <w:sz w:val="24"/>
    </w:rPr>
  </w:style>
  <w:style w:type="paragraph" w:styleId="12">
    <w:name w:val="Body Text Indent"/>
    <w:basedOn w:val="1"/>
    <w:qFormat/>
    <w:uiPriority w:val="0"/>
    <w:pPr>
      <w:ind w:firstLine="560" w:firstLineChars="200"/>
    </w:pPr>
    <w:rPr>
      <w:rFonts w:ascii="宋体" w:hAnsi="宋体"/>
      <w:bCs/>
      <w:sz w:val="28"/>
      <w:szCs w:val="32"/>
    </w:rPr>
  </w:style>
  <w:style w:type="paragraph" w:styleId="13">
    <w:name w:val="toc 5"/>
    <w:basedOn w:val="1"/>
    <w:next w:val="1"/>
    <w:qFormat/>
    <w:uiPriority w:val="39"/>
    <w:pPr>
      <w:ind w:left="840"/>
      <w:jc w:val="left"/>
    </w:pPr>
    <w:rPr>
      <w:rFonts w:asciiTheme="minorHAnsi" w:hAnsiTheme="minorHAnsi" w:cstheme="minorHAnsi"/>
      <w:sz w:val="18"/>
      <w:szCs w:val="18"/>
    </w:rPr>
  </w:style>
  <w:style w:type="paragraph" w:styleId="14">
    <w:name w:val="toc 3"/>
    <w:basedOn w:val="1"/>
    <w:next w:val="1"/>
    <w:qFormat/>
    <w:uiPriority w:val="39"/>
    <w:pPr>
      <w:ind w:left="420"/>
      <w:jc w:val="left"/>
    </w:pPr>
    <w:rPr>
      <w:rFonts w:asciiTheme="minorHAnsi" w:hAnsiTheme="minorHAnsi" w:cstheme="minorHAnsi"/>
      <w:i/>
      <w:iCs/>
      <w:sz w:val="20"/>
      <w:szCs w:val="20"/>
    </w:rPr>
  </w:style>
  <w:style w:type="paragraph" w:styleId="15">
    <w:name w:val="Plain Text"/>
    <w:basedOn w:val="1"/>
    <w:qFormat/>
    <w:uiPriority w:val="0"/>
    <w:rPr>
      <w:rFonts w:ascii="宋体"/>
    </w:rPr>
  </w:style>
  <w:style w:type="paragraph" w:styleId="16">
    <w:name w:val="toc 8"/>
    <w:basedOn w:val="1"/>
    <w:next w:val="1"/>
    <w:qFormat/>
    <w:uiPriority w:val="39"/>
    <w:pPr>
      <w:ind w:left="1470"/>
      <w:jc w:val="left"/>
    </w:pPr>
    <w:rPr>
      <w:rFonts w:asciiTheme="minorHAnsi" w:hAnsiTheme="minorHAnsi" w:cstheme="minorHAnsi"/>
      <w:sz w:val="18"/>
      <w:szCs w:val="18"/>
    </w:rPr>
  </w:style>
  <w:style w:type="paragraph" w:styleId="17">
    <w:name w:val="Date"/>
    <w:basedOn w:val="1"/>
    <w:next w:val="1"/>
    <w:qFormat/>
    <w:uiPriority w:val="0"/>
    <w:pPr>
      <w:ind w:left="2500" w:leftChars="2500"/>
    </w:pPr>
    <w:rPr>
      <w:rFonts w:ascii="Times New Roman" w:hAnsi="Times New Roman"/>
      <w:szCs w:val="20"/>
    </w:rPr>
  </w:style>
  <w:style w:type="paragraph" w:styleId="18">
    <w:name w:val="Balloon Text"/>
    <w:basedOn w:val="1"/>
    <w:qFormat/>
    <w:uiPriority w:val="0"/>
    <w:rPr>
      <w:rFonts w:ascii="Times New Roman" w:hAnsi="Times New Roman"/>
      <w:sz w:val="18"/>
      <w:szCs w:val="20"/>
    </w:rPr>
  </w:style>
  <w:style w:type="paragraph" w:styleId="19">
    <w:name w:val="footer"/>
    <w:basedOn w:val="1"/>
    <w:qFormat/>
    <w:uiPriority w:val="0"/>
    <w:pPr>
      <w:tabs>
        <w:tab w:val="center" w:pos="4153"/>
        <w:tab w:val="right" w:pos="8306"/>
      </w:tabs>
      <w:snapToGrid w:val="0"/>
      <w:jc w:val="left"/>
    </w:pPr>
    <w:rPr>
      <w:sz w:val="18"/>
    </w:rPr>
  </w:style>
  <w:style w:type="paragraph" w:styleId="20">
    <w:name w:val="envelope return"/>
    <w:basedOn w:val="1"/>
    <w:next w:val="12"/>
    <w:unhideWhenUsed/>
    <w:qFormat/>
    <w:uiPriority w:val="99"/>
    <w:pPr>
      <w:snapToGrid w:val="0"/>
    </w:pPr>
    <w:rPr>
      <w:rFonts w:ascii="Arial" w:hAnsi="Arial"/>
    </w:rPr>
  </w:style>
  <w:style w:type="paragraph" w:styleId="21">
    <w:name w:val="header"/>
    <w:basedOn w:val="1"/>
    <w:link w:val="55"/>
    <w:qFormat/>
    <w:uiPriority w:val="99"/>
    <w:pPr>
      <w:tabs>
        <w:tab w:val="center" w:pos="4153"/>
        <w:tab w:val="right" w:pos="8306"/>
      </w:tabs>
      <w:snapToGrid w:val="0"/>
    </w:pPr>
    <w:rPr>
      <w:rFonts w:ascii="Times New Roman" w:hAnsi="Times New Roman"/>
      <w:sz w:val="18"/>
      <w:szCs w:val="20"/>
    </w:rPr>
  </w:style>
  <w:style w:type="paragraph" w:styleId="22">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3">
    <w:name w:val="toc 4"/>
    <w:basedOn w:val="1"/>
    <w:next w:val="1"/>
    <w:qFormat/>
    <w:uiPriority w:val="39"/>
    <w:pPr>
      <w:ind w:left="630"/>
      <w:jc w:val="left"/>
    </w:pPr>
    <w:rPr>
      <w:rFonts w:asciiTheme="minorHAnsi" w:hAnsiTheme="minorHAnsi" w:cstheme="minorHAnsi"/>
      <w:sz w:val="18"/>
      <w:szCs w:val="18"/>
    </w:rPr>
  </w:style>
  <w:style w:type="paragraph" w:styleId="24">
    <w:name w:val="footnote text"/>
    <w:basedOn w:val="1"/>
    <w:unhideWhenUsed/>
    <w:qFormat/>
    <w:uiPriority w:val="99"/>
    <w:pPr>
      <w:snapToGrid w:val="0"/>
      <w:jc w:val="left"/>
    </w:pPr>
    <w:rPr>
      <w:rFonts w:ascii="Times New Roman" w:hAnsi="Times New Roman"/>
      <w:sz w:val="18"/>
      <w:szCs w:val="18"/>
    </w:rPr>
  </w:style>
  <w:style w:type="paragraph" w:styleId="25">
    <w:name w:val="toc 6"/>
    <w:basedOn w:val="1"/>
    <w:next w:val="1"/>
    <w:qFormat/>
    <w:uiPriority w:val="39"/>
    <w:pPr>
      <w:ind w:left="1050"/>
      <w:jc w:val="left"/>
    </w:pPr>
    <w:rPr>
      <w:rFonts w:asciiTheme="minorHAnsi" w:hAnsiTheme="minorHAnsi" w:cstheme="minorHAnsi"/>
      <w:sz w:val="18"/>
      <w:szCs w:val="18"/>
    </w:rPr>
  </w:style>
  <w:style w:type="paragraph" w:styleId="26">
    <w:name w:val="Body Text Indent 3"/>
    <w:basedOn w:val="1"/>
    <w:qFormat/>
    <w:uiPriority w:val="0"/>
    <w:pPr>
      <w:spacing w:after="120"/>
      <w:ind w:left="200" w:leftChars="200"/>
    </w:pPr>
    <w:rPr>
      <w:sz w:val="16"/>
      <w:szCs w:val="16"/>
    </w:rPr>
  </w:style>
  <w:style w:type="paragraph" w:styleId="27">
    <w:name w:val="toc 2"/>
    <w:basedOn w:val="1"/>
    <w:next w:val="1"/>
    <w:qFormat/>
    <w:uiPriority w:val="39"/>
    <w:pPr>
      <w:ind w:left="210"/>
      <w:jc w:val="left"/>
    </w:pPr>
    <w:rPr>
      <w:rFonts w:asciiTheme="minorHAnsi" w:hAnsiTheme="minorHAnsi" w:cstheme="minorHAnsi"/>
      <w:smallCaps/>
      <w:sz w:val="20"/>
      <w:szCs w:val="20"/>
    </w:rPr>
  </w:style>
  <w:style w:type="paragraph" w:styleId="28">
    <w:name w:val="toc 9"/>
    <w:basedOn w:val="1"/>
    <w:next w:val="1"/>
    <w:qFormat/>
    <w:uiPriority w:val="39"/>
    <w:pPr>
      <w:ind w:left="1680"/>
      <w:jc w:val="left"/>
    </w:pPr>
    <w:rPr>
      <w:rFonts w:asciiTheme="minorHAnsi" w:hAnsiTheme="minorHAnsi" w:cstheme="minorHAnsi"/>
      <w:sz w:val="18"/>
      <w:szCs w:val="18"/>
    </w:rPr>
  </w:style>
  <w:style w:type="paragraph" w:styleId="29">
    <w:name w:val="Normal (Web)"/>
    <w:basedOn w:val="1"/>
    <w:qFormat/>
    <w:uiPriority w:val="0"/>
    <w:pPr>
      <w:widowControl/>
      <w:spacing w:before="100" w:beforeAutospacing="1" w:after="100" w:afterAutospacing="1" w:line="480" w:lineRule="exact"/>
      <w:jc w:val="left"/>
    </w:pPr>
    <w:rPr>
      <w:rFonts w:ascii="宋体" w:hAnsi="宋体"/>
      <w:color w:val="000000"/>
      <w:kern w:val="0"/>
      <w:sz w:val="24"/>
      <w:szCs w:val="24"/>
    </w:rPr>
  </w:style>
  <w:style w:type="paragraph" w:styleId="30">
    <w:name w:val="annotation subject"/>
    <w:basedOn w:val="9"/>
    <w:next w:val="9"/>
    <w:qFormat/>
    <w:uiPriority w:val="0"/>
  </w:style>
  <w:style w:type="character" w:styleId="33">
    <w:name w:val="Strong"/>
    <w:qFormat/>
    <w:uiPriority w:val="0"/>
    <w:rPr>
      <w:b/>
      <w:bCs/>
    </w:rPr>
  </w:style>
  <w:style w:type="character" w:styleId="34">
    <w:name w:val="page number"/>
    <w:basedOn w:val="32"/>
    <w:qFormat/>
    <w:uiPriority w:val="0"/>
  </w:style>
  <w:style w:type="character" w:styleId="35">
    <w:name w:val="Hyperlink"/>
    <w:qFormat/>
    <w:uiPriority w:val="99"/>
    <w:rPr>
      <w:color w:val="0000FF"/>
      <w:u w:val="single"/>
    </w:rPr>
  </w:style>
  <w:style w:type="character" w:styleId="36">
    <w:name w:val="annotation reference"/>
    <w:qFormat/>
    <w:uiPriority w:val="0"/>
    <w:rPr>
      <w:sz w:val="21"/>
    </w:rPr>
  </w:style>
  <w:style w:type="character" w:styleId="37">
    <w:name w:val="footnote reference"/>
    <w:unhideWhenUsed/>
    <w:qFormat/>
    <w:uiPriority w:val="99"/>
    <w:rPr>
      <w:vertAlign w:val="superscript"/>
    </w:rPr>
  </w:style>
  <w:style w:type="character" w:customStyle="1" w:styleId="38">
    <w:name w:val="style_kwd"/>
    <w:basedOn w:val="32"/>
    <w:qFormat/>
    <w:uiPriority w:val="0"/>
  </w:style>
  <w:style w:type="character" w:customStyle="1" w:styleId="39">
    <w:name w:val="批注文字 Char1"/>
    <w:qFormat/>
    <w:uiPriority w:val="0"/>
    <w:rPr>
      <w:rFonts w:ascii="Times New Roman" w:hAnsi="Times New Roman" w:eastAsia="宋体" w:cs="Times New Roman"/>
      <w:sz w:val="20"/>
      <w:szCs w:val="20"/>
      <w:lang w:bidi="ar-SA"/>
    </w:rPr>
  </w:style>
  <w:style w:type="character" w:customStyle="1" w:styleId="40">
    <w:name w:val="Comment Text Char"/>
    <w:qFormat/>
    <w:uiPriority w:val="0"/>
  </w:style>
  <w:style w:type="paragraph" w:customStyle="1" w:styleId="41">
    <w:name w:val="修订1"/>
    <w:qFormat/>
    <w:uiPriority w:val="0"/>
    <w:rPr>
      <w:rFonts w:ascii="Times New Roman" w:hAnsi="Times New Roman" w:eastAsia="宋体" w:cs="Times New Roman"/>
      <w:kern w:val="2"/>
      <w:sz w:val="21"/>
      <w:lang w:val="en-US" w:eastAsia="zh-CN" w:bidi="ar-SA"/>
    </w:rPr>
  </w:style>
  <w:style w:type="paragraph" w:customStyle="1" w:styleId="42">
    <w:name w:val="_Style 23"/>
    <w:basedOn w:val="1"/>
    <w:qFormat/>
    <w:uiPriority w:val="0"/>
    <w:pPr>
      <w:widowControl/>
      <w:spacing w:after="160" w:line="240" w:lineRule="exact"/>
      <w:jc w:val="left"/>
    </w:pPr>
  </w:style>
  <w:style w:type="paragraph" w:customStyle="1" w:styleId="43">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44">
    <w:name w:val="批注文字 Char"/>
    <w:basedOn w:val="32"/>
    <w:link w:val="9"/>
    <w:qFormat/>
    <w:uiPriority w:val="0"/>
    <w:rPr>
      <w:rFonts w:eastAsia="宋体"/>
      <w:kern w:val="2"/>
      <w:sz w:val="21"/>
    </w:rPr>
  </w:style>
  <w:style w:type="character" w:customStyle="1" w:styleId="45">
    <w:name w:val="正文文本 3 Char"/>
    <w:basedOn w:val="32"/>
    <w:link w:val="10"/>
    <w:qFormat/>
    <w:uiPriority w:val="0"/>
    <w:rPr>
      <w:rFonts w:ascii="宋体" w:hAnsi="Calibri" w:eastAsia="宋体"/>
      <w:kern w:val="2"/>
      <w:sz w:val="24"/>
    </w:rPr>
  </w:style>
  <w:style w:type="character" w:customStyle="1" w:styleId="46">
    <w:name w:val="font161"/>
    <w:qFormat/>
    <w:uiPriority w:val="0"/>
    <w:rPr>
      <w:b/>
      <w:bCs/>
      <w:sz w:val="32"/>
      <w:szCs w:val="32"/>
    </w:rPr>
  </w:style>
  <w:style w:type="paragraph" w:customStyle="1" w:styleId="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48">
    <w:name w:val="样式 标题 3 + (中文) 黑体 小四 非加粗 段前: 7.8 磅 段后: 0 磅 行距: 固定值 20 磅"/>
    <w:basedOn w:val="4"/>
    <w:qFormat/>
    <w:uiPriority w:val="0"/>
    <w:pPr>
      <w:spacing w:before="0" w:after="0" w:line="400" w:lineRule="exact"/>
      <w:ind w:firstLine="0" w:firstLineChars="0"/>
    </w:pPr>
    <w:rPr>
      <w:rFonts w:ascii="Times New Roman" w:hAnsi="Times New Roman" w:cs="宋体"/>
      <w:sz w:val="24"/>
    </w:rPr>
  </w:style>
  <w:style w:type="character" w:customStyle="1" w:styleId="49">
    <w:name w:val="标题 3 Char"/>
    <w:basedOn w:val="32"/>
    <w:link w:val="4"/>
    <w:qFormat/>
    <w:uiPriority w:val="0"/>
    <w:rPr>
      <w:rFonts w:ascii="黑体" w:hAnsi="Calibri" w:eastAsia="黑体"/>
      <w:kern w:val="2"/>
      <w:sz w:val="28"/>
    </w:rPr>
  </w:style>
  <w:style w:type="paragraph" w:customStyle="1" w:styleId="50">
    <w:name w:val="修订2"/>
    <w:hidden/>
    <w:semiHidden/>
    <w:qFormat/>
    <w:uiPriority w:val="99"/>
    <w:rPr>
      <w:rFonts w:ascii="Calibri" w:hAnsi="Calibri" w:eastAsia="宋体" w:cs="Times New Roman"/>
      <w:kern w:val="2"/>
      <w:sz w:val="21"/>
      <w:szCs w:val="22"/>
      <w:lang w:val="en-US" w:eastAsia="zh-CN" w:bidi="ar-SA"/>
    </w:rPr>
  </w:style>
  <w:style w:type="paragraph" w:styleId="51">
    <w:name w:val="List Paragraph"/>
    <w:basedOn w:val="1"/>
    <w:qFormat/>
    <w:uiPriority w:val="99"/>
    <w:pPr>
      <w:ind w:firstLine="420" w:firstLineChars="200"/>
    </w:pPr>
  </w:style>
  <w:style w:type="paragraph" w:customStyle="1" w:styleId="52">
    <w:name w:val="修订3"/>
    <w:hidden/>
    <w:semiHidden/>
    <w:qFormat/>
    <w:uiPriority w:val="99"/>
    <w:rPr>
      <w:rFonts w:ascii="Calibri" w:hAnsi="Calibri" w:eastAsia="宋体" w:cs="Times New Roman"/>
      <w:kern w:val="2"/>
      <w:sz w:val="21"/>
      <w:szCs w:val="22"/>
      <w:lang w:val="en-US" w:eastAsia="zh-CN" w:bidi="ar-SA"/>
    </w:rPr>
  </w:style>
  <w:style w:type="paragraph" w:customStyle="1" w:styleId="53">
    <w:name w:val="修订4"/>
    <w:hidden/>
    <w:semiHidden/>
    <w:qFormat/>
    <w:uiPriority w:val="99"/>
    <w:rPr>
      <w:rFonts w:ascii="Calibri" w:hAnsi="Calibri" w:eastAsia="宋体" w:cs="Times New Roman"/>
      <w:kern w:val="2"/>
      <w:sz w:val="21"/>
      <w:szCs w:val="22"/>
      <w:lang w:val="en-US" w:eastAsia="zh-CN" w:bidi="ar-SA"/>
    </w:rPr>
  </w:style>
  <w:style w:type="paragraph" w:customStyle="1" w:styleId="54">
    <w:name w:val="修订5"/>
    <w:hidden/>
    <w:unhideWhenUsed/>
    <w:qFormat/>
    <w:uiPriority w:val="99"/>
    <w:rPr>
      <w:rFonts w:ascii="Calibri" w:hAnsi="Calibri" w:eastAsia="宋体" w:cs="Times New Roman"/>
      <w:kern w:val="2"/>
      <w:sz w:val="21"/>
      <w:szCs w:val="22"/>
      <w:lang w:val="en-US" w:eastAsia="zh-CN" w:bidi="ar-SA"/>
    </w:rPr>
  </w:style>
  <w:style w:type="character" w:customStyle="1" w:styleId="55">
    <w:name w:val="页眉 Char"/>
    <w:basedOn w:val="32"/>
    <w:link w:val="21"/>
    <w:qFormat/>
    <w:uiPriority w:val="99"/>
    <w:rPr>
      <w:rFonts w:ascii="Times New Roman" w:hAnsi="Times New Roman" w:eastAsia="宋体" w:cs="Times New Roman"/>
      <w:kern w:val="2"/>
      <w:sz w:val="18"/>
    </w:rPr>
  </w:style>
  <w:style w:type="paragraph" w:customStyle="1" w:styleId="56">
    <w:name w:val="修订6"/>
    <w:hidden/>
    <w:unhideWhenUsed/>
    <w:qFormat/>
    <w:uiPriority w:val="99"/>
    <w:rPr>
      <w:rFonts w:ascii="Calibri" w:hAnsi="Calibri" w:eastAsia="宋体" w:cs="Times New Roman"/>
      <w:kern w:val="2"/>
      <w:sz w:val="21"/>
      <w:szCs w:val="22"/>
      <w:lang w:val="en-US" w:eastAsia="zh-CN" w:bidi="ar-SA"/>
    </w:rPr>
  </w:style>
  <w:style w:type="paragraph" w:customStyle="1" w:styleId="5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93811-F5D3-4107-90DD-7985C0AE7B4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72</Pages>
  <Words>26211</Words>
  <Characters>27504</Characters>
  <Lines>300</Lines>
  <Paragraphs>84</Paragraphs>
  <TotalTime>3</TotalTime>
  <ScaleCrop>false</ScaleCrop>
  <LinksUpToDate>false</LinksUpToDate>
  <CharactersWithSpaces>30313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2021-06-04T00:23:00Z</dcterms:created>
  <dc:creator>Lenovo</dc:creator>
  <cp:lastModifiedBy>初审-张涛</cp:lastModifiedBy>
  <cp:lastPrinted>2019-11-01T08:14:00Z</cp:lastPrinted>
  <dcterms:modified xsi:type="dcterms:W3CDTF">2025-03-31T06:58:18Z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9D89943C7BC241CDB4E866BDEBD87B2D_13</vt:lpwstr>
  </property>
  <property fmtid="{D5CDD505-2E9C-101B-9397-08002B2CF9AE}" pid="4" name="KSOTemplateDocerSaveRecord">
    <vt:lpwstr>eyJoZGlkIjoiNmEyNDFmZDBhZTg0M2QzMDVjMGUxNDhiYjM0MTcxMWUiLCJ1c2VySWQiOiIzODc4NTg1OTUifQ==</vt:lpwstr>
  </property>
</Properties>
</file>